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media/image1.png" ContentType="image/png"/>
  <Override PartName="/word/media/image2.png" ContentType="image/png"/>
  <Override PartName="/word/media/image3.jpeg" ContentType="image/jpeg"/>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rFonts w:ascii="Arial Narrow" w:hAnsi="Arial Narrow" w:cs="Arial"/>
        </w:rPr>
      </w:pPr>
      <w:r>
        <w:rPr>
          <w:rFonts w:cs="Arial" w:ascii="Arial Narrow" w:hAnsi="Arial Narrow"/>
        </w:rPr>
        <mc:AlternateContent>
          <mc:Choice Requires="wps">
            <w:drawing>
              <wp:anchor behindDoc="0" distT="5715" distB="4445" distL="5715" distR="4445" simplePos="0" locked="0" layoutInCell="0" allowOverlap="1" relativeHeight="9" wp14:anchorId="65F1171B">
                <wp:simplePos x="0" y="0"/>
                <wp:positionH relativeFrom="margin">
                  <wp:align>left</wp:align>
                </wp:positionH>
                <wp:positionV relativeFrom="paragraph">
                  <wp:posOffset>157480</wp:posOffset>
                </wp:positionV>
                <wp:extent cx="5991225" cy="790575"/>
                <wp:effectExtent l="5715" t="5715" r="4445" b="4445"/>
                <wp:wrapNone/>
                <wp:docPr id="1" name="Cuadro de texto 307"/>
                <a:graphic xmlns:a="http://schemas.openxmlformats.org/drawingml/2006/main">
                  <a:graphicData uri="http://schemas.microsoft.com/office/word/2010/wordprocessingShape">
                    <wps:wsp>
                      <wps:cNvSpPr/>
                      <wps:spPr>
                        <a:xfrm>
                          <a:off x="0" y="0"/>
                          <a:ext cx="5991120" cy="790560"/>
                        </a:xfrm>
                        <a:prstGeom prst="rect">
                          <a:avLst/>
                        </a:prstGeom>
                        <a:solidFill>
                          <a:srgbClr val="ffff00"/>
                        </a:solidFill>
                        <a:ln w="9525">
                          <a:solidFill>
                            <a:srgbClr val="000000"/>
                          </a:solidFill>
                          <a:miter/>
                        </a:ln>
                      </wps:spPr>
                      <wps:style>
                        <a:lnRef idx="0"/>
                        <a:fillRef idx="0"/>
                        <a:effectRef idx="0"/>
                        <a:fontRef idx="minor"/>
                      </wps:style>
                      <wps:txbx>
                        <w:txbxContent>
                          <w:p>
                            <w:pPr>
                              <w:pStyle w:val="Contenidodelmarco"/>
                              <w:spacing w:lineRule="auto" w:line="240" w:before="0" w:after="0"/>
                              <w:jc w:val="center"/>
                              <w:rPr>
                                <w:rFonts w:ascii="Arial Narrow" w:hAnsi="Arial Narrow" w:cs="Arial"/>
                                <w:b/>
                                <w:sz w:val="21"/>
                                <w:szCs w:val="21"/>
                              </w:rPr>
                            </w:pPr>
                            <w:r>
                              <w:rPr>
                                <w:rFonts w:cs="Arial" w:ascii="Arial Narrow" w:hAnsi="Arial Narrow"/>
                                <w:b/>
                                <w:color w:val="000000"/>
                                <w:sz w:val="21"/>
                                <w:szCs w:val="21"/>
                              </w:rPr>
                              <w:t xml:space="preserve">AVISO IMPORTANTE – El </w:t>
                            </w:r>
                            <w:r>
                              <w:rPr>
                                <w:rFonts w:cs="Arial" w:ascii="Arial Narrow" w:hAnsi="Arial Narrow"/>
                                <w:b/>
                                <w:i/>
                                <w:color w:val="000000"/>
                                <w:sz w:val="21"/>
                                <w:szCs w:val="21"/>
                              </w:rPr>
                              <w:t>Curriculum Vitae</w:t>
                            </w:r>
                            <w:r>
                              <w:rPr>
                                <w:rFonts w:cs="Arial" w:ascii="Arial Narrow" w:hAnsi="Arial Narrow"/>
                                <w:b/>
                                <w:color w:val="000000"/>
                                <w:sz w:val="21"/>
                                <w:szCs w:val="21"/>
                              </w:rPr>
                              <w:t xml:space="preserve"> abreviado no podrá exceder de 4 páginas. Para rellenar correctamente este documento, lea detenidamente las instrucciones disponibles en la web de la convocatoria. </w:t>
                            </w:r>
                          </w:p>
                          <w:p>
                            <w:pPr>
                              <w:pStyle w:val="Contenidodelmarco"/>
                              <w:spacing w:lineRule="auto" w:line="240" w:before="0" w:after="0"/>
                              <w:jc w:val="center"/>
                              <w:rPr>
                                <w:rFonts w:ascii="Arial Narrow" w:hAnsi="Arial Narrow" w:cs="Arial"/>
                                <w:b/>
                                <w:sz w:val="12"/>
                              </w:rPr>
                            </w:pPr>
                            <w:r>
                              <w:rPr>
                                <w:rFonts w:cs="Arial" w:ascii="Arial Narrow" w:hAnsi="Arial Narrow"/>
                                <w:b/>
                                <w:color w:val="000000"/>
                                <w:sz w:val="12"/>
                              </w:rPr>
                            </w:r>
                          </w:p>
                          <w:p>
                            <w:pPr>
                              <w:pStyle w:val="Contenidodelmarco"/>
                              <w:spacing w:lineRule="auto" w:line="240" w:before="0" w:after="0"/>
                              <w:jc w:val="center"/>
                              <w:rPr>
                                <w:rFonts w:ascii="Arial Narrow" w:hAnsi="Arial Narrow" w:cs="Arial"/>
                                <w:b/>
                                <w:i/>
                                <w:i/>
                                <w:sz w:val="21"/>
                                <w:szCs w:val="21"/>
                                <w:lang w:val="en-US"/>
                              </w:rPr>
                            </w:pPr>
                            <w:r>
                              <w:rPr>
                                <w:rFonts w:cs="Arial" w:ascii="Arial Narrow" w:hAnsi="Arial Narrow"/>
                                <w:b/>
                                <w:i/>
                                <w:color w:val="000000"/>
                                <w:sz w:val="21"/>
                                <w:szCs w:val="21"/>
                                <w:lang w:val="en-US"/>
                              </w:rPr>
                              <w:t>IMPORTANT – The Curriculum Vitae cannot exceed 4 pages. Instructions to fill this document are available in the website.</w:t>
                            </w:r>
                          </w:p>
                        </w:txbxContent>
                      </wps:txbx>
                      <wps:bodyPr anchor="t">
                        <a:noAutofit/>
                      </wps:bodyPr>
                    </wps:wsp>
                  </a:graphicData>
                </a:graphic>
              </wp:anchor>
            </w:drawing>
          </mc:Choice>
          <mc:Fallback>
            <w:pict>
              <v:rect id="shape_0" ID="Cuadro de texto 307" path="m0,0l-2147483645,0l-2147483645,-2147483646l0,-2147483646xe" fillcolor="yellow" stroked="t" o:allowincell="f" style="position:absolute;margin-left:0.45pt;margin-top:12.4pt;width:471.7pt;height:62.2pt;mso-wrap-style:square;v-text-anchor:top;mso-position-horizontal:left;mso-position-horizontal-relative:margin" wp14:anchorId="65F1171B">
                <v:fill o:detectmouseclick="t" type="solid" color2="blue"/>
                <v:stroke color="black" weight="9360" joinstyle="miter" endcap="flat"/>
                <v:textbox>
                  <w:txbxContent>
                    <w:p>
                      <w:pPr>
                        <w:pStyle w:val="Contenidodelmarco"/>
                        <w:spacing w:lineRule="auto" w:line="240" w:before="0" w:after="0"/>
                        <w:jc w:val="center"/>
                        <w:rPr>
                          <w:rFonts w:ascii="Arial Narrow" w:hAnsi="Arial Narrow" w:cs="Arial"/>
                          <w:b/>
                          <w:sz w:val="21"/>
                          <w:szCs w:val="21"/>
                        </w:rPr>
                      </w:pPr>
                      <w:r>
                        <w:rPr>
                          <w:rFonts w:cs="Arial" w:ascii="Arial Narrow" w:hAnsi="Arial Narrow"/>
                          <w:b/>
                          <w:color w:val="000000"/>
                          <w:sz w:val="21"/>
                          <w:szCs w:val="21"/>
                        </w:rPr>
                        <w:t xml:space="preserve">AVISO IMPORTANTE – El </w:t>
                      </w:r>
                      <w:r>
                        <w:rPr>
                          <w:rFonts w:cs="Arial" w:ascii="Arial Narrow" w:hAnsi="Arial Narrow"/>
                          <w:b/>
                          <w:i/>
                          <w:color w:val="000000"/>
                          <w:sz w:val="21"/>
                          <w:szCs w:val="21"/>
                        </w:rPr>
                        <w:t>Curriculum Vitae</w:t>
                      </w:r>
                      <w:r>
                        <w:rPr>
                          <w:rFonts w:cs="Arial" w:ascii="Arial Narrow" w:hAnsi="Arial Narrow"/>
                          <w:b/>
                          <w:color w:val="000000"/>
                          <w:sz w:val="21"/>
                          <w:szCs w:val="21"/>
                        </w:rPr>
                        <w:t xml:space="preserve"> abreviado no podrá exceder de 4 páginas. Para rellenar correctamente este documento, lea detenidamente las instrucciones disponibles en la web de la convocatoria. </w:t>
                      </w:r>
                    </w:p>
                    <w:p>
                      <w:pPr>
                        <w:pStyle w:val="Contenidodelmarco"/>
                        <w:spacing w:lineRule="auto" w:line="240" w:before="0" w:after="0"/>
                        <w:jc w:val="center"/>
                        <w:rPr>
                          <w:rFonts w:ascii="Arial Narrow" w:hAnsi="Arial Narrow" w:cs="Arial"/>
                          <w:b/>
                          <w:sz w:val="12"/>
                        </w:rPr>
                      </w:pPr>
                      <w:r>
                        <w:rPr>
                          <w:rFonts w:cs="Arial" w:ascii="Arial Narrow" w:hAnsi="Arial Narrow"/>
                          <w:b/>
                          <w:color w:val="000000"/>
                          <w:sz w:val="12"/>
                        </w:rPr>
                      </w:r>
                    </w:p>
                    <w:p>
                      <w:pPr>
                        <w:pStyle w:val="Contenidodelmarco"/>
                        <w:spacing w:lineRule="auto" w:line="240" w:before="0" w:after="0"/>
                        <w:jc w:val="center"/>
                        <w:rPr>
                          <w:rFonts w:ascii="Arial Narrow" w:hAnsi="Arial Narrow" w:cs="Arial"/>
                          <w:b/>
                          <w:i/>
                          <w:i/>
                          <w:sz w:val="21"/>
                          <w:szCs w:val="21"/>
                          <w:lang w:val="en-US"/>
                        </w:rPr>
                      </w:pPr>
                      <w:r>
                        <w:rPr>
                          <w:rFonts w:cs="Arial" w:ascii="Arial Narrow" w:hAnsi="Arial Narrow"/>
                          <w:b/>
                          <w:i/>
                          <w:color w:val="000000"/>
                          <w:sz w:val="21"/>
                          <w:szCs w:val="21"/>
                          <w:lang w:val="en-US"/>
                        </w:rPr>
                        <w:t>IMPORTANT – The Curriculum Vitae cannot exceed 4 pages. Instructions to fill this document are available in the website.</w:t>
                      </w:r>
                    </w:p>
                  </w:txbxContent>
                </v:textbox>
                <w10:wrap type="none"/>
              </v:rect>
            </w:pict>
          </mc:Fallback>
        </mc:AlternateContent>
      </w:r>
    </w:p>
    <w:p>
      <w:pPr>
        <w:pStyle w:val="Normal"/>
        <w:spacing w:lineRule="auto" w:line="240" w:before="0" w:after="0"/>
        <w:jc w:val="both"/>
        <w:rPr>
          <w:rFonts w:ascii="Arial Narrow" w:hAnsi="Arial Narrow" w:cs="Arial"/>
        </w:rPr>
      </w:pPr>
      <w:r>
        <w:rPr>
          <w:rFonts w:cs="Arial" w:ascii="Arial Narrow" w:hAnsi="Arial Narrow"/>
        </w:rPr>
      </w:r>
    </w:p>
    <w:p>
      <w:pPr>
        <w:pStyle w:val="Normal"/>
        <w:spacing w:lineRule="auto" w:line="240" w:before="0" w:after="0"/>
        <w:jc w:val="both"/>
        <w:rPr>
          <w:rFonts w:ascii="Arial Narrow" w:hAnsi="Arial Narrow" w:cs="Arial"/>
        </w:rPr>
      </w:pPr>
      <w:r>
        <w:rPr>
          <w:rFonts w:cs="Arial" w:ascii="Arial Narrow" w:hAnsi="Arial Narrow"/>
        </w:rPr>
      </w:r>
    </w:p>
    <w:p>
      <w:pPr>
        <w:pStyle w:val="Normal"/>
        <w:spacing w:lineRule="auto" w:line="240" w:before="0" w:after="0"/>
        <w:jc w:val="both"/>
        <w:rPr>
          <w:rFonts w:ascii="Arial Narrow" w:hAnsi="Arial Narrow" w:cs="Arial"/>
        </w:rPr>
      </w:pPr>
      <w:r>
        <w:rPr>
          <w:rFonts w:cs="Arial" w:ascii="Arial Narrow" w:hAnsi="Arial Narrow"/>
        </w:rPr>
      </w:r>
    </w:p>
    <w:p>
      <w:pPr>
        <w:pStyle w:val="Normal"/>
        <w:spacing w:lineRule="auto" w:line="240" w:before="0" w:after="0"/>
        <w:jc w:val="both"/>
        <w:rPr>
          <w:rFonts w:ascii="Arial Narrow" w:hAnsi="Arial Narrow" w:cs="Arial"/>
        </w:rPr>
      </w:pPr>
      <w:r>
        <w:rPr>
          <w:rFonts w:cs="Arial" w:ascii="Arial Narrow" w:hAnsi="Arial Narrow"/>
        </w:rPr>
      </w:r>
    </w:p>
    <w:p>
      <w:pPr>
        <w:pStyle w:val="Normal"/>
        <w:spacing w:lineRule="auto" w:line="240" w:before="0" w:after="0"/>
        <w:jc w:val="both"/>
        <w:rPr>
          <w:rFonts w:ascii="Arial Narrow" w:hAnsi="Arial Narrow" w:cs="Arial"/>
        </w:rPr>
      </w:pPr>
      <w:r>
        <w:rPr>
          <w:rFonts w:cs="Arial" w:ascii="Arial Narrow" w:hAnsi="Arial Narrow"/>
        </w:rPr>
      </w:r>
    </w:p>
    <w:p>
      <w:pPr>
        <w:pStyle w:val="Normal"/>
        <w:spacing w:lineRule="auto" w:line="240" w:before="0" w:after="0"/>
        <w:jc w:val="both"/>
        <w:rPr>
          <w:rFonts w:ascii="Arial Narrow" w:hAnsi="Arial Narrow" w:cs="Arial"/>
        </w:rPr>
      </w:pPr>
      <w:r>
        <w:rPr>
          <w:rFonts w:cs="Arial" w:ascii="Arial Narrow" w:hAnsi="Arial Narrow"/>
        </w:rPr>
      </w:r>
    </w:p>
    <w:tbl>
      <w:tblPr>
        <w:tblpPr w:vertAnchor="text" w:horzAnchor="page" w:leftFromText="141" w:rightFromText="141" w:tblpX="6576" w:tblpY="117"/>
        <w:tblW w:w="4106" w:type="dxa"/>
        <w:jc w:val="left"/>
        <w:tblInd w:w="70" w:type="dxa"/>
        <w:tblLayout w:type="fixed"/>
        <w:tblCellMar>
          <w:top w:w="0" w:type="dxa"/>
          <w:left w:w="70" w:type="dxa"/>
          <w:bottom w:w="0" w:type="dxa"/>
          <w:right w:w="70" w:type="dxa"/>
        </w:tblCellMar>
        <w:tblLook w:val="04a0" w:noHBand="0" w:noVBand="1" w:firstColumn="1" w:lastRow="0" w:lastColumn="0" w:firstRow="1"/>
      </w:tblPr>
      <w:tblGrid>
        <w:gridCol w:w="2622"/>
        <w:gridCol w:w="1483"/>
      </w:tblGrid>
      <w:tr>
        <w:trPr>
          <w:trHeight w:val="300" w:hRule="atLeast"/>
        </w:trPr>
        <w:tc>
          <w:tcPr>
            <w:tcW w:w="2622"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before="0" w:after="0"/>
              <w:rPr>
                <w:rFonts w:ascii="Arial" w:hAnsi="Arial" w:eastAsia="Times New Roman" w:cs="Arial"/>
                <w:b/>
                <w:bCs/>
                <w:color w:val="000000"/>
                <w:lang w:eastAsia="es-ES"/>
              </w:rPr>
            </w:pPr>
            <w:r>
              <w:rPr>
                <w:rFonts w:eastAsia="Times New Roman" w:cs="Arial" w:ascii="Arial" w:hAnsi="Arial"/>
                <w:b/>
                <w:bCs/>
                <w:color w:val="000000"/>
                <w:lang w:eastAsia="es-ES"/>
              </w:rPr>
              <w:t>Fecha del CVA</w:t>
            </w:r>
          </w:p>
        </w:tc>
        <w:tc>
          <w:tcPr>
            <w:tcW w:w="1483"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eastAsia="Times New Roman" w:cs="Arial"/>
                <w:color w:val="000000"/>
                <w:lang w:eastAsia="es-ES"/>
              </w:rPr>
            </w:pPr>
            <w:r>
              <w:rPr>
                <w:rFonts w:eastAsia="Times New Roman" w:cs="Arial" w:ascii="Arial" w:hAnsi="Arial"/>
                <w:color w:val="000000"/>
                <w:lang w:eastAsia="es-ES"/>
              </w:rPr>
              <w:t>20</w:t>
            </w:r>
            <w:r>
              <w:rPr>
                <w:rFonts w:eastAsia="Times New Roman" w:cs="Arial" w:ascii="Arial" w:hAnsi="Arial"/>
                <w:color w:val="000000"/>
                <w:lang w:eastAsia="es-ES"/>
              </w:rPr>
              <w:t>/</w:t>
            </w:r>
            <w:r>
              <w:rPr>
                <w:rFonts w:eastAsia="Times New Roman" w:cs="Arial" w:ascii="Arial" w:hAnsi="Arial"/>
                <w:color w:val="000000"/>
                <w:lang w:eastAsia="es-ES"/>
              </w:rPr>
              <w:t>11</w:t>
            </w:r>
            <w:r>
              <w:rPr>
                <w:rFonts w:eastAsia="Times New Roman" w:cs="Arial" w:ascii="Arial" w:hAnsi="Arial"/>
                <w:color w:val="000000"/>
                <w:lang w:eastAsia="es-ES"/>
              </w:rPr>
              <w:t>/2025</w:t>
            </w:r>
          </w:p>
        </w:tc>
      </w:tr>
    </w:tbl>
    <w:p>
      <w:pPr>
        <w:pStyle w:val="Normal"/>
        <w:spacing w:lineRule="auto" w:line="240" w:before="0" w:after="0"/>
        <w:rPr>
          <w:rFonts w:ascii="Arial" w:hAnsi="Arial" w:cs="Arial"/>
          <w:b/>
        </w:rPr>
      </w:pPr>
      <w:r>
        <w:rPr>
          <w:rFonts w:cs="Arial" w:ascii="Arial" w:hAnsi="Arial"/>
          <w:b/>
        </w:rPr>
      </w:r>
    </w:p>
    <w:p>
      <w:pPr>
        <w:pStyle w:val="Normal"/>
        <w:spacing w:lineRule="auto" w:line="240" w:before="0" w:after="0"/>
        <w:rPr>
          <w:rFonts w:ascii="Arial" w:hAnsi="Arial" w:cs="Arial"/>
          <w:b/>
        </w:rPr>
      </w:pPr>
      <w:r>
        <w:rPr>
          <w:rFonts w:cs="Arial" w:ascii="Arial" w:hAnsi="Arial"/>
          <w:b/>
        </w:rPr>
      </w:r>
    </w:p>
    <w:p>
      <w:pPr>
        <w:pStyle w:val="Normal"/>
        <w:spacing w:lineRule="auto" w:line="240" w:before="0" w:after="0"/>
        <w:rPr>
          <w:rFonts w:ascii="Arial" w:hAnsi="Arial" w:cs="Arial"/>
          <w:b/>
        </w:rPr>
      </w:pPr>
      <w:r>
        <w:rPr>
          <w:rFonts w:cs="Arial" w:ascii="Arial" w:hAnsi="Arial"/>
          <w:b/>
        </w:rPr>
        <w:t>Parte A. DATOS PERSONALES</w:t>
      </w:r>
    </w:p>
    <w:tbl>
      <w:tblPr>
        <w:tblW w:w="9214" w:type="dxa"/>
        <w:jc w:val="left"/>
        <w:tblInd w:w="-5" w:type="dxa"/>
        <w:tblLayout w:type="fixed"/>
        <w:tblCellMar>
          <w:top w:w="0" w:type="dxa"/>
          <w:left w:w="70" w:type="dxa"/>
          <w:bottom w:w="0" w:type="dxa"/>
          <w:right w:w="70" w:type="dxa"/>
        </w:tblCellMar>
        <w:tblLook w:val="04a0" w:noHBand="0" w:noVBand="1" w:firstColumn="1" w:lastRow="0" w:lastColumn="0" w:firstRow="1"/>
      </w:tblPr>
      <w:tblGrid>
        <w:gridCol w:w="2411"/>
        <w:gridCol w:w="1067"/>
        <w:gridCol w:w="1624"/>
        <w:gridCol w:w="2202"/>
        <w:gridCol w:w="1909"/>
      </w:tblGrid>
      <w:tr>
        <w:trPr>
          <w:trHeight w:val="20" w:hRule="atLeast"/>
        </w:trPr>
        <w:tc>
          <w:tcPr>
            <w:tcW w:w="24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bCs/>
                <w:color w:val="000000"/>
                <w:lang w:eastAsia="es-ES"/>
              </w:rPr>
            </w:pPr>
            <w:r>
              <w:rPr>
                <w:rFonts w:cs="Arial" w:ascii="Arial" w:hAnsi="Arial"/>
                <w:bCs/>
                <w:color w:val="000000"/>
                <w:lang w:eastAsia="es-ES"/>
              </w:rPr>
              <w:t>Nombre</w:t>
            </w:r>
          </w:p>
        </w:tc>
        <w:tc>
          <w:tcPr>
            <w:tcW w:w="680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color w:val="000000"/>
                <w:lang w:eastAsia="es-ES"/>
              </w:rPr>
            </w:pPr>
            <w:r>
              <w:rPr>
                <w:rFonts w:cs="Arial" w:ascii="Arial" w:hAnsi="Arial"/>
                <w:color w:val="000000"/>
                <w:lang w:eastAsia="es-ES"/>
              </w:rPr>
              <w:t>Francisco</w:t>
            </w:r>
          </w:p>
        </w:tc>
      </w:tr>
      <w:tr>
        <w:trPr>
          <w:trHeight w:val="20" w:hRule="atLeast"/>
        </w:trPr>
        <w:tc>
          <w:tcPr>
            <w:tcW w:w="24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bCs/>
                <w:color w:val="000000"/>
                <w:lang w:eastAsia="es-ES"/>
              </w:rPr>
            </w:pPr>
            <w:r>
              <w:rPr>
                <w:rFonts w:cs="Arial" w:ascii="Arial" w:hAnsi="Arial"/>
                <w:bCs/>
                <w:color w:val="000000"/>
                <w:lang w:eastAsia="es-ES"/>
              </w:rPr>
              <w:t>Apellidos</w:t>
            </w:r>
          </w:p>
        </w:tc>
        <w:tc>
          <w:tcPr>
            <w:tcW w:w="680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color w:val="000000"/>
                <w:lang w:eastAsia="es-ES"/>
              </w:rPr>
            </w:pPr>
            <w:r>
              <w:rPr>
                <w:rFonts w:cs="Arial" w:ascii="Arial" w:hAnsi="Arial"/>
                <w:color w:val="000000"/>
                <w:lang w:eastAsia="es-ES"/>
              </w:rPr>
              <w:t>Domínguez-Adame Acosta</w:t>
            </w:r>
          </w:p>
        </w:tc>
      </w:tr>
      <w:tr>
        <w:trPr>
          <w:trHeight w:val="20" w:hRule="atLeast"/>
        </w:trPr>
        <w:tc>
          <w:tcPr>
            <w:tcW w:w="24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bCs/>
                <w:lang w:eastAsia="es-ES"/>
              </w:rPr>
            </w:pPr>
            <w:r>
              <w:rPr>
                <w:rFonts w:cs="Arial" w:ascii="Arial" w:hAnsi="Arial"/>
                <w:bCs/>
                <w:lang w:eastAsia="es-ES"/>
              </w:rPr>
              <w:t>Sexo</w:t>
            </w:r>
          </w:p>
        </w:tc>
        <w:tc>
          <w:tcPr>
            <w:tcW w:w="1067"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eastAsia="es-ES"/>
              </w:rPr>
            </w:pPr>
            <w:r>
              <w:rPr>
                <w:rFonts w:cs="Arial" w:ascii="Arial" w:hAnsi="Arial"/>
                <w:lang w:eastAsia="es-ES"/>
              </w:rPr>
              <w:t>Hombre</w:t>
            </w:r>
          </w:p>
        </w:tc>
        <w:tc>
          <w:tcPr>
            <w:tcW w:w="3826"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eastAsia="es-ES"/>
              </w:rPr>
            </w:pPr>
            <w:r>
              <w:rPr>
                <w:rFonts w:cs="Arial" w:ascii="Arial" w:hAnsi="Arial"/>
                <w:lang w:eastAsia="es-ES"/>
              </w:rPr>
              <w:t>Fecha de nacimiento (</w:t>
            </w:r>
            <w:r>
              <w:rPr>
                <w:rFonts w:cs="Arial" w:ascii="Arial" w:hAnsi="Arial"/>
              </w:rPr>
              <w:t>dd/mm/yyyy)</w:t>
            </w:r>
          </w:p>
        </w:tc>
        <w:tc>
          <w:tcPr>
            <w:tcW w:w="1909"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eastAsia="es-ES"/>
              </w:rPr>
            </w:pPr>
            <w:r>
              <w:rPr>
                <w:rFonts w:cs="Arial" w:ascii="Arial" w:hAnsi="Arial"/>
                <w:lang w:eastAsia="es-ES"/>
              </w:rPr>
              <w:t>16/02/1962</w:t>
            </w:r>
          </w:p>
        </w:tc>
      </w:tr>
      <w:tr>
        <w:trPr>
          <w:trHeight w:val="20" w:hRule="atLeast"/>
        </w:trPr>
        <w:tc>
          <w:tcPr>
            <w:tcW w:w="2411"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US" w:eastAsia="es-ES"/>
              </w:rPr>
              <w:t>DNI, NIE, pasaporte</w:t>
            </w:r>
          </w:p>
        </w:tc>
        <w:tc>
          <w:tcPr>
            <w:tcW w:w="269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US" w:eastAsia="es-ES"/>
              </w:rPr>
            </w:r>
          </w:p>
        </w:tc>
        <w:tc>
          <w:tcPr>
            <w:tcW w:w="220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US" w:eastAsia="es-ES"/>
              </w:rPr>
            </w:r>
          </w:p>
        </w:tc>
        <w:tc>
          <w:tcPr>
            <w:tcW w:w="1909"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US" w:eastAsia="es-ES"/>
              </w:rPr>
            </w:r>
          </w:p>
        </w:tc>
      </w:tr>
      <w:tr>
        <w:trPr>
          <w:trHeight w:val="20" w:hRule="atLeast"/>
        </w:trPr>
        <w:tc>
          <w:tcPr>
            <w:tcW w:w="2411"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US" w:eastAsia="es-ES"/>
              </w:rPr>
              <w:t>Dirección email</w:t>
            </w:r>
          </w:p>
        </w:tc>
        <w:tc>
          <w:tcPr>
            <w:tcW w:w="2691"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US" w:eastAsia="es-ES"/>
              </w:rPr>
              <w:t>adame@ucm.es</w:t>
            </w:r>
          </w:p>
        </w:tc>
        <w:tc>
          <w:tcPr>
            <w:tcW w:w="220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eastAsia="es-ES"/>
              </w:rPr>
            </w:pPr>
            <w:r>
              <w:rPr>
                <w:rFonts w:cs="Arial" w:ascii="Arial" w:hAnsi="Arial"/>
                <w:lang w:eastAsia="es-ES"/>
              </w:rPr>
              <w:t>URL Web</w:t>
            </w:r>
          </w:p>
        </w:tc>
        <w:tc>
          <w:tcPr>
            <w:tcW w:w="1909"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eastAsia="es-ES"/>
              </w:rPr>
            </w:pPr>
            <w:r>
              <w:rPr>
                <w:rFonts w:cs="Arial" w:ascii="Arial" w:hAnsi="Arial"/>
                <w:lang w:eastAsia="es-ES"/>
              </w:rPr>
              <w:t>www.fd-adame.es</w:t>
            </w:r>
          </w:p>
        </w:tc>
      </w:tr>
      <w:tr>
        <w:trPr>
          <w:trHeight w:val="20" w:hRule="atLeast"/>
        </w:trPr>
        <w:tc>
          <w:tcPr>
            <w:tcW w:w="5102" w:type="dxa"/>
            <w:gridSpan w:val="3"/>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GB" w:eastAsia="es-ES"/>
              </w:rPr>
              <w:t>Open Researcher and Contributor ID (ORCID) (*)</w:t>
            </w:r>
          </w:p>
        </w:tc>
        <w:tc>
          <w:tcPr>
            <w:tcW w:w="220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eastAsia="Times New Roman" w:cs="Arial" w:ascii="Arial" w:hAnsi="Arial"/>
                <w:color w:val="000000"/>
                <w:lang w:eastAsia="es-ES"/>
              </w:rPr>
              <w:t>000-0002-5256-4196</w:t>
            </w:r>
          </w:p>
        </w:tc>
        <w:tc>
          <w:tcPr>
            <w:tcW w:w="1909"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Arial" w:hAnsi="Arial" w:cs="Arial"/>
                <w:lang w:val="en-US" w:eastAsia="es-ES"/>
              </w:rPr>
            </w:pPr>
            <w:r>
              <w:rPr>
                <w:rFonts w:cs="Arial" w:ascii="Arial" w:hAnsi="Arial"/>
                <w:lang w:val="en-US" w:eastAsia="es-ES"/>
              </w:rPr>
            </w:r>
          </w:p>
        </w:tc>
      </w:tr>
    </w:tbl>
    <w:p>
      <w:pPr>
        <w:pStyle w:val="Normal"/>
        <w:spacing w:lineRule="auto" w:line="240" w:before="0" w:after="0"/>
        <w:rPr>
          <w:rFonts w:ascii="Arial" w:hAnsi="Arial" w:eastAsia="Times New Roman" w:cs="Arial"/>
          <w:b/>
        </w:rPr>
      </w:pPr>
      <w:r>
        <w:rPr>
          <w:rFonts w:eastAsia="Times New Roman" w:cs="Arial" w:ascii="Arial" w:hAnsi="Arial"/>
          <w:b/>
        </w:rPr>
      </w:r>
    </w:p>
    <w:p>
      <w:pPr>
        <w:pStyle w:val="Normal"/>
        <w:spacing w:lineRule="auto" w:line="240" w:before="0" w:after="0"/>
        <w:rPr>
          <w:rFonts w:ascii="Arial" w:hAnsi="Arial" w:eastAsia="Times New Roman" w:cs="Arial"/>
        </w:rPr>
      </w:pPr>
      <w:r>
        <w:rPr>
          <w:rFonts w:eastAsia="Times New Roman" w:cs="Arial" w:ascii="Arial" w:hAnsi="Arial"/>
          <w:b/>
        </w:rPr>
        <w:t>A.1. Situación profesional actual</w:t>
      </w:r>
    </w:p>
    <w:tbl>
      <w:tblPr>
        <w:tblW w:w="5000" w:type="pct"/>
        <w:jc w:val="left"/>
        <w:tblInd w:w="-5" w:type="dxa"/>
        <w:tblLayout w:type="fixed"/>
        <w:tblCellMar>
          <w:top w:w="0" w:type="dxa"/>
          <w:left w:w="70" w:type="dxa"/>
          <w:bottom w:w="0" w:type="dxa"/>
          <w:right w:w="70" w:type="dxa"/>
        </w:tblCellMar>
        <w:tblLook w:val="04a0" w:noHBand="0" w:noVBand="1" w:firstColumn="1" w:lastRow="0" w:lastColumn="0" w:firstRow="1"/>
      </w:tblPr>
      <w:tblGrid>
        <w:gridCol w:w="2704"/>
        <w:gridCol w:w="2924"/>
        <w:gridCol w:w="1170"/>
        <w:gridCol w:w="2271"/>
      </w:tblGrid>
      <w:tr>
        <w:trPr>
          <w:trHeight w:val="20" w:hRule="atLeast"/>
        </w:trPr>
        <w:tc>
          <w:tcPr>
            <w:tcW w:w="2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eastAsia="es-ES"/>
              </w:rPr>
              <w:t>Puesto</w:t>
            </w:r>
          </w:p>
        </w:tc>
        <w:tc>
          <w:tcPr>
            <w:tcW w:w="63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Catedrático de Universidad</w:t>
            </w:r>
          </w:p>
        </w:tc>
      </w:tr>
      <w:tr>
        <w:trPr>
          <w:trHeight w:val="285" w:hRule="atLeast"/>
        </w:trPr>
        <w:tc>
          <w:tcPr>
            <w:tcW w:w="2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eastAsia="es-ES"/>
              </w:rPr>
              <w:t>Fecha inicio</w:t>
            </w:r>
          </w:p>
        </w:tc>
        <w:tc>
          <w:tcPr>
            <w:tcW w:w="63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31/01/2007</w:t>
            </w:r>
          </w:p>
        </w:tc>
      </w:tr>
      <w:tr>
        <w:trPr>
          <w:trHeight w:val="20" w:hRule="atLeast"/>
        </w:trPr>
        <w:tc>
          <w:tcPr>
            <w:tcW w:w="2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eastAsia="es-ES"/>
              </w:rPr>
              <w:t>Organismo</w:t>
            </w:r>
            <w:r>
              <w:rPr>
                <w:rFonts w:eastAsia="Times New Roman" w:cs="Arial" w:ascii="Arial" w:hAnsi="Arial"/>
                <w:lang w:val="en-GB" w:eastAsia="es-ES"/>
              </w:rPr>
              <w:t xml:space="preserve">/ </w:t>
            </w:r>
            <w:r>
              <w:rPr>
                <w:rFonts w:eastAsia="Times New Roman" w:cs="Arial" w:ascii="Arial" w:hAnsi="Arial"/>
                <w:lang w:eastAsia="es-ES"/>
              </w:rPr>
              <w:t>Institución</w:t>
            </w:r>
          </w:p>
        </w:tc>
        <w:tc>
          <w:tcPr>
            <w:tcW w:w="63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Universidad Complutense de Madrid</w:t>
            </w:r>
          </w:p>
        </w:tc>
      </w:tr>
      <w:tr>
        <w:trPr>
          <w:trHeight w:val="20" w:hRule="atLeast"/>
        </w:trPr>
        <w:tc>
          <w:tcPr>
            <w:tcW w:w="2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eastAsia="es-ES"/>
              </w:rPr>
              <w:t>Departamento</w:t>
            </w:r>
            <w:r>
              <w:rPr>
                <w:rFonts w:eastAsia="Times New Roman" w:cs="Arial" w:ascii="Arial" w:hAnsi="Arial"/>
                <w:lang w:val="en-GB" w:eastAsia="es-ES"/>
              </w:rPr>
              <w:t>/ Centro</w:t>
            </w:r>
          </w:p>
        </w:tc>
        <w:tc>
          <w:tcPr>
            <w:tcW w:w="6365"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Física de Materiales / Facultad de Ciencias Físicas</w:t>
            </w:r>
          </w:p>
        </w:tc>
      </w:tr>
      <w:tr>
        <w:trPr>
          <w:trHeight w:val="20" w:hRule="atLeast"/>
        </w:trPr>
        <w:tc>
          <w:tcPr>
            <w:tcW w:w="2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País</w:t>
            </w:r>
          </w:p>
        </w:tc>
        <w:tc>
          <w:tcPr>
            <w:tcW w:w="29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España</w:t>
            </w:r>
          </w:p>
        </w:tc>
        <w:tc>
          <w:tcPr>
            <w:tcW w:w="117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eastAsia="es-ES"/>
              </w:rPr>
              <w:t>Teléfono</w:t>
            </w:r>
          </w:p>
        </w:tc>
        <w:tc>
          <w:tcPr>
            <w:tcW w:w="22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91 394 44 88</w:t>
            </w:r>
          </w:p>
        </w:tc>
      </w:tr>
      <w:tr>
        <w:trPr>
          <w:trHeight w:val="20" w:hRule="atLeast"/>
        </w:trPr>
        <w:tc>
          <w:tcPr>
            <w:tcW w:w="27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Arial" w:ascii="Arial" w:hAnsi="Arial"/>
                <w:lang w:val="en-GB" w:eastAsia="es-ES"/>
              </w:rPr>
              <w:t>Palabras clave</w:t>
            </w:r>
          </w:p>
        </w:tc>
        <w:tc>
          <w:tcPr>
            <w:tcW w:w="6365"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Arial" w:hAnsi="Arial" w:eastAsia="Times New Roman" w:cs="Arial"/>
                <w:lang w:val="en-GB" w:eastAsia="es-ES"/>
              </w:rPr>
            </w:pPr>
            <w:r>
              <w:rPr>
                <w:rFonts w:eastAsia="Times New Roman" w:cs="Calibri" w:ascii="Liberation Sans" w:hAnsi="Liberation Sans" w:cstheme="minorHAnsi"/>
                <w:color w:val="000000"/>
                <w:lang w:eastAsia="es-ES"/>
              </w:rPr>
              <w:t>Transporte electrónico, propiedades ópticas, nanoestructuras</w:t>
            </w:r>
          </w:p>
        </w:tc>
      </w:tr>
    </w:tbl>
    <w:p>
      <w:pPr>
        <w:pStyle w:val="Normal"/>
        <w:spacing w:lineRule="auto" w:line="240" w:before="0" w:after="0"/>
        <w:jc w:val="both"/>
        <w:rPr>
          <w:rFonts w:ascii="Arial" w:hAnsi="Arial" w:eastAsia="Times New Roman" w:cs="Arial"/>
          <w:i/>
          <w:i/>
          <w:sz w:val="18"/>
          <w:szCs w:val="18"/>
          <w:lang w:eastAsia="es-ES"/>
        </w:rPr>
      </w:pPr>
      <w:r>
        <w:rPr>
          <w:rFonts w:eastAsia="Times New Roman" w:cs="Arial" w:ascii="Arial" w:hAnsi="Arial"/>
          <w:i/>
          <w:sz w:val="18"/>
          <w:szCs w:val="18"/>
          <w:lang w:eastAsia="es-ES"/>
        </w:rPr>
      </w:r>
    </w:p>
    <w:p>
      <w:pPr>
        <w:pStyle w:val="Normal"/>
        <w:spacing w:lineRule="auto" w:line="240" w:before="0" w:after="0"/>
        <w:ind w:right="-710"/>
        <w:rPr>
          <w:rFonts w:ascii="Arial" w:hAnsi="Arial" w:eastAsia="Times New Roman" w:cs="Arial"/>
          <w:b/>
          <w:lang w:val="nb-NO"/>
        </w:rPr>
      </w:pPr>
      <w:r>
        <w:rPr>
          <w:rFonts w:eastAsia="Times New Roman" w:cs="Arial" w:ascii="Arial" w:hAnsi="Arial"/>
          <w:b/>
        </w:rPr>
        <w:t xml:space="preserve">A.2. </w:t>
      </w:r>
      <w:r>
        <w:rPr>
          <w:rFonts w:eastAsia="Times New Roman" w:cs="Arial" w:ascii="Arial" w:hAnsi="Arial"/>
          <w:b/>
          <w:lang w:val="nb-NO"/>
        </w:rPr>
        <w:t>Situación profesional anterior (incluye interrupciones en la carrera investigadora, de acuerdo con lo indicado en la convocatoria, indicar meses totales)</w:t>
      </w:r>
    </w:p>
    <w:p>
      <w:pPr>
        <w:pStyle w:val="Normal"/>
        <w:spacing w:lineRule="auto" w:line="240" w:before="0" w:after="0"/>
        <w:ind w:right="-710"/>
        <w:rPr>
          <w:rFonts w:ascii="Arial" w:hAnsi="Arial" w:eastAsia="Times New Roman" w:cs="Arial"/>
          <w:i/>
          <w:i/>
        </w:rPr>
      </w:pPr>
      <w:r>
        <w:rPr>
          <w:rFonts w:eastAsia="Times New Roman" w:cs="Arial" w:ascii="Arial" w:hAnsi="Arial"/>
          <w:i/>
        </w:rPr>
      </w:r>
    </w:p>
    <w:tbl>
      <w:tblPr>
        <w:tblStyle w:val="Tablaconcuadrcula1"/>
        <w:tblW w:w="9213"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1530"/>
        <w:gridCol w:w="7682"/>
      </w:tblGrid>
      <w:tr>
        <w:trPr/>
        <w:tc>
          <w:tcPr>
            <w:tcW w:w="1530" w:type="dxa"/>
            <w:tcBorders/>
            <w:vAlign w:val="center"/>
          </w:tcPr>
          <w:p>
            <w:pPr>
              <w:pStyle w:val="Normal"/>
              <w:widowControl/>
              <w:suppressAutoHyphens w:val="true"/>
              <w:spacing w:before="0" w:after="0"/>
              <w:jc w:val="left"/>
              <w:rPr>
                <w:rFonts w:ascii="Arial" w:hAnsi="Arial" w:cs="Arial"/>
                <w:b/>
                <w:lang w:val="en-GB"/>
              </w:rPr>
            </w:pPr>
            <w:r>
              <w:rPr>
                <w:rFonts w:eastAsia="Times New Roman" w:cs="Arial" w:ascii="Arial" w:hAnsi="Arial"/>
                <w:b/>
                <w:kern w:val="0"/>
                <w:lang w:val="en-US" w:bidi="ar-SA"/>
              </w:rPr>
              <w:t>Periodo</w:t>
            </w:r>
          </w:p>
        </w:tc>
        <w:tc>
          <w:tcPr>
            <w:tcW w:w="7682" w:type="dxa"/>
            <w:tcBorders/>
            <w:vAlign w:val="center"/>
          </w:tcPr>
          <w:p>
            <w:pPr>
              <w:pStyle w:val="Normal"/>
              <w:widowControl/>
              <w:suppressAutoHyphens w:val="true"/>
              <w:spacing w:before="0" w:after="0"/>
              <w:jc w:val="center"/>
              <w:rPr>
                <w:rFonts w:ascii="Arial" w:hAnsi="Arial" w:cs="Arial"/>
                <w:b/>
              </w:rPr>
            </w:pPr>
            <w:r>
              <w:rPr>
                <w:rFonts w:eastAsia="Times New Roman" w:cs="Arial" w:ascii="Arial" w:hAnsi="Arial"/>
                <w:b/>
                <w:kern w:val="0"/>
                <w:lang w:val="en-US" w:bidi="ar-SA"/>
              </w:rPr>
              <w:t>Puesto/ Institución/ País / Motivo interrupción</w:t>
            </w:r>
          </w:p>
        </w:tc>
      </w:tr>
      <w:tr>
        <w:trPr>
          <w:trHeight w:val="624" w:hRule="atLeast"/>
        </w:trPr>
        <w:tc>
          <w:tcPr>
            <w:tcW w:w="1530" w:type="dxa"/>
            <w:tcBorders/>
            <w:vAlign w:val="bottom"/>
          </w:tcPr>
          <w:p>
            <w:pPr>
              <w:pStyle w:val="Normal"/>
              <w:widowControl/>
              <w:suppressAutoHyphens w:val="true"/>
              <w:spacing w:before="0" w:after="200"/>
              <w:jc w:val="left"/>
              <w:rPr>
                <w:rFonts w:ascii="Arial" w:hAnsi="Arial" w:cs="Arial"/>
                <w:lang w:val="en-GB"/>
              </w:rPr>
            </w:pPr>
            <w:r>
              <w:rPr>
                <w:rFonts w:eastAsia="Times New Roman" w:cs="Arial" w:ascii="Arial" w:hAnsi="Arial"/>
                <w:kern w:val="0"/>
                <w:lang w:val="en-GB" w:bidi="ar-SA"/>
              </w:rPr>
              <w:t>28/10/1991 – 30/01/2007</w:t>
            </w:r>
          </w:p>
        </w:tc>
        <w:tc>
          <w:tcPr>
            <w:tcW w:w="7682" w:type="dxa"/>
            <w:tcBorders/>
            <w:vAlign w:val="bottom"/>
          </w:tcPr>
          <w:p>
            <w:pPr>
              <w:pStyle w:val="Normal"/>
              <w:widowControl/>
              <w:suppressAutoHyphens w:val="true"/>
              <w:spacing w:before="0" w:after="200"/>
              <w:jc w:val="left"/>
              <w:rPr>
                <w:rFonts w:ascii="Arial" w:hAnsi="Arial" w:cs="Arial"/>
              </w:rPr>
            </w:pPr>
            <w:r>
              <w:rPr>
                <w:rFonts w:eastAsia="Times New Roman" w:cs="Arial" w:ascii="Arial" w:hAnsi="Arial"/>
                <w:kern w:val="0"/>
                <w:lang w:val="en-US" w:bidi="ar-SA"/>
              </w:rPr>
              <w:t>Titular de Universidad / Universidad Complutense de Madrid / España / Promoción a Catedrático de Universidad</w:t>
            </w:r>
          </w:p>
        </w:tc>
      </w:tr>
      <w:tr>
        <w:trPr/>
        <w:tc>
          <w:tcPr>
            <w:tcW w:w="1530" w:type="dxa"/>
            <w:tcBorders/>
            <w:vAlign w:val="bottom"/>
          </w:tcPr>
          <w:p>
            <w:pPr>
              <w:pStyle w:val="Normal"/>
              <w:widowControl/>
              <w:suppressAutoHyphens w:val="true"/>
              <w:spacing w:before="0" w:after="200"/>
              <w:jc w:val="left"/>
              <w:rPr>
                <w:rFonts w:ascii="Arial" w:hAnsi="Arial" w:cs="Arial"/>
                <w:lang w:val="en-GB"/>
              </w:rPr>
            </w:pPr>
            <w:r>
              <w:rPr>
                <w:rFonts w:eastAsia="Times New Roman" w:cs="Arial" w:ascii="Arial" w:hAnsi="Arial"/>
                <w:kern w:val="0"/>
                <w:lang w:val="en-GB" w:bidi="ar-SA"/>
              </w:rPr>
              <w:t>01/10/1989 – 27/10/1991</w:t>
            </w:r>
          </w:p>
        </w:tc>
        <w:tc>
          <w:tcPr>
            <w:tcW w:w="7682" w:type="dxa"/>
            <w:tcBorders/>
            <w:vAlign w:val="bottom"/>
          </w:tcPr>
          <w:p>
            <w:pPr>
              <w:pStyle w:val="Normal"/>
              <w:widowControl/>
              <w:suppressAutoHyphens w:val="true"/>
              <w:spacing w:before="0" w:after="200"/>
              <w:jc w:val="left"/>
              <w:rPr>
                <w:rFonts w:ascii="Arial" w:hAnsi="Arial" w:cs="Arial"/>
              </w:rPr>
            </w:pPr>
            <w:r>
              <w:rPr>
                <w:rFonts w:eastAsia="Times New Roman" w:cs="Arial" w:ascii="Arial" w:hAnsi="Arial"/>
                <w:kern w:val="0"/>
                <w:lang w:val="en-US" w:bidi="ar-SA"/>
              </w:rPr>
              <w:t>Titular de Escuela Universitaria interino / Universidad Complutense de Madrid / España / Promoción a Titular de Universidad</w:t>
            </w:r>
          </w:p>
        </w:tc>
      </w:tr>
      <w:tr>
        <w:trPr/>
        <w:tc>
          <w:tcPr>
            <w:tcW w:w="1530" w:type="dxa"/>
            <w:tcBorders/>
            <w:vAlign w:val="bottom"/>
          </w:tcPr>
          <w:p>
            <w:pPr>
              <w:pStyle w:val="Normal"/>
              <w:widowControl/>
              <w:suppressAutoHyphens w:val="true"/>
              <w:spacing w:before="0" w:after="200"/>
              <w:jc w:val="left"/>
              <w:rPr>
                <w:rFonts w:ascii="Arial" w:hAnsi="Arial" w:cs="Arial"/>
                <w:lang w:val="en-GB"/>
              </w:rPr>
            </w:pPr>
            <w:r>
              <w:rPr>
                <w:rFonts w:eastAsia="Times New Roman" w:cs="Arial" w:ascii="Arial" w:hAnsi="Arial"/>
                <w:kern w:val="0"/>
                <w:lang w:val="en-GB" w:bidi="ar-SA"/>
              </w:rPr>
              <w:t>01/10/1987 -30/09/1989</w:t>
            </w:r>
          </w:p>
        </w:tc>
        <w:tc>
          <w:tcPr>
            <w:tcW w:w="7682" w:type="dxa"/>
            <w:tcBorders/>
            <w:vAlign w:val="bottom"/>
          </w:tcPr>
          <w:p>
            <w:pPr>
              <w:pStyle w:val="Normal"/>
              <w:widowControl/>
              <w:suppressAutoHyphens w:val="true"/>
              <w:spacing w:before="0" w:after="200"/>
              <w:jc w:val="left"/>
              <w:rPr>
                <w:rFonts w:ascii="Arial" w:hAnsi="Arial" w:cs="Arial"/>
              </w:rPr>
            </w:pPr>
            <w:r>
              <w:rPr>
                <w:rFonts w:eastAsia="Times New Roman" w:cs="Arial" w:ascii="Arial" w:hAnsi="Arial"/>
                <w:kern w:val="0"/>
                <w:lang w:val="en-US" w:bidi="ar-SA"/>
              </w:rPr>
              <w:t>Ayudante de Escuela Universitario / Universidad Complutense de Madrid / España / Promoción a Titular de Escuela Universitaria interino</w:t>
            </w:r>
          </w:p>
        </w:tc>
      </w:tr>
      <w:tr>
        <w:trPr/>
        <w:tc>
          <w:tcPr>
            <w:tcW w:w="1530" w:type="dxa"/>
            <w:tcBorders/>
            <w:vAlign w:val="bottom"/>
          </w:tcPr>
          <w:p>
            <w:pPr>
              <w:pStyle w:val="Normal"/>
              <w:widowControl/>
              <w:suppressAutoHyphens w:val="true"/>
              <w:spacing w:before="0" w:after="200"/>
              <w:jc w:val="left"/>
              <w:rPr>
                <w:rFonts w:ascii="Arial" w:hAnsi="Arial" w:cs="Arial"/>
                <w:lang w:val="en-GB"/>
              </w:rPr>
            </w:pPr>
            <w:r>
              <w:rPr>
                <w:rFonts w:eastAsia="Times New Roman" w:cs="Arial" w:ascii="Arial" w:hAnsi="Arial"/>
                <w:kern w:val="0"/>
                <w:lang w:val="en-GB" w:bidi="ar-SA"/>
              </w:rPr>
              <w:t>10/04/1986 – 30/09/1987</w:t>
            </w:r>
          </w:p>
        </w:tc>
        <w:tc>
          <w:tcPr>
            <w:tcW w:w="7682" w:type="dxa"/>
            <w:tcBorders/>
            <w:vAlign w:val="bottom"/>
          </w:tcPr>
          <w:p>
            <w:pPr>
              <w:pStyle w:val="Normal"/>
              <w:widowControl/>
              <w:suppressAutoHyphens w:val="true"/>
              <w:spacing w:before="0" w:after="200"/>
              <w:jc w:val="left"/>
              <w:rPr>
                <w:rFonts w:ascii="Arial" w:hAnsi="Arial" w:cs="Arial"/>
              </w:rPr>
            </w:pPr>
            <w:r>
              <w:rPr>
                <w:rFonts w:eastAsia="Times New Roman" w:cs="Arial" w:ascii="Arial" w:hAnsi="Arial"/>
                <w:kern w:val="0"/>
                <w:lang w:val="en-US" w:bidi="ar-SA"/>
              </w:rPr>
              <w:t>Ayudante con dedicación exclusiva / Universidad Complutense de Madrid / España / Conversión de contrato por cambio de ley</w:t>
            </w:r>
          </w:p>
        </w:tc>
      </w:tr>
      <w:tr>
        <w:trPr>
          <w:trHeight w:val="680" w:hRule="atLeast"/>
        </w:trPr>
        <w:tc>
          <w:tcPr>
            <w:tcW w:w="1530" w:type="dxa"/>
            <w:tcBorders/>
            <w:vAlign w:val="bottom"/>
          </w:tcPr>
          <w:p>
            <w:pPr>
              <w:pStyle w:val="Normal"/>
              <w:widowControl/>
              <w:suppressAutoHyphens w:val="true"/>
              <w:spacing w:before="0" w:after="200"/>
              <w:jc w:val="left"/>
              <w:rPr>
                <w:rFonts w:ascii="Arial" w:hAnsi="Arial" w:cs="Arial"/>
                <w:lang w:val="en-GB"/>
              </w:rPr>
            </w:pPr>
            <w:r>
              <w:rPr>
                <w:rFonts w:eastAsia="Times New Roman" w:cs="Arial" w:ascii="Arial" w:hAnsi="Arial"/>
                <w:kern w:val="0"/>
                <w:lang w:val="en-GB" w:bidi="ar-SA"/>
              </w:rPr>
              <w:t>01/03/1986 – 09/04/1986</w:t>
            </w:r>
          </w:p>
        </w:tc>
        <w:tc>
          <w:tcPr>
            <w:tcW w:w="7682" w:type="dxa"/>
            <w:tcBorders/>
            <w:vAlign w:val="bottom"/>
          </w:tcPr>
          <w:p>
            <w:pPr>
              <w:pStyle w:val="Normal"/>
              <w:widowControl/>
              <w:suppressAutoHyphens w:val="true"/>
              <w:spacing w:before="0" w:after="200"/>
              <w:jc w:val="left"/>
              <w:rPr>
                <w:rFonts w:ascii="Arial" w:hAnsi="Arial" w:cs="Arial"/>
                <w:lang w:val="en-GB"/>
              </w:rPr>
            </w:pPr>
            <w:r>
              <w:rPr>
                <w:rFonts w:eastAsia="Times New Roman" w:cs="Arial" w:ascii="Arial" w:hAnsi="Arial"/>
                <w:kern w:val="0"/>
                <w:lang w:val="en-US" w:bidi="ar-SA"/>
              </w:rPr>
              <w:t>Becario predoctoral Junta Andalucía / Universidad de Granada / España / Inicio carrera docente en la Universidad Compluense de Madrid</w:t>
            </w:r>
          </w:p>
        </w:tc>
      </w:tr>
    </w:tbl>
    <w:p>
      <w:pPr>
        <w:pStyle w:val="Normal"/>
        <w:spacing w:lineRule="auto" w:line="240" w:before="0" w:after="0"/>
        <w:rPr>
          <w:rFonts w:ascii="Calibri" w:hAnsi="Calibri" w:eastAsia="Times New Roman" w:asciiTheme="minorHAnsi" w:hAnsiTheme="minorHAnsi"/>
          <w:i/>
          <w:i/>
          <w:sz w:val="20"/>
          <w:szCs w:val="20"/>
        </w:rPr>
      </w:pPr>
      <w:r>
        <w:rPr>
          <w:rFonts w:eastAsia="Times New Roman"/>
          <w:i/>
          <w:sz w:val="20"/>
          <w:szCs w:val="20"/>
        </w:rPr>
      </w:r>
    </w:p>
    <w:p>
      <w:pPr>
        <w:pStyle w:val="Normal"/>
        <w:spacing w:lineRule="auto" w:line="240" w:before="0" w:after="0"/>
        <w:rPr>
          <w:rFonts w:ascii="Calibri" w:hAnsi="Calibri" w:eastAsia="Times New Roman" w:asciiTheme="minorHAnsi" w:hAnsiTheme="minorHAnsi"/>
          <w:i/>
          <w:i/>
          <w:sz w:val="20"/>
          <w:szCs w:val="20"/>
        </w:rPr>
      </w:pPr>
      <w:r>
        <w:rPr>
          <w:rFonts w:eastAsia="Times New Roman"/>
          <w:i/>
          <w:sz w:val="20"/>
          <w:szCs w:val="20"/>
        </w:rPr>
      </w:r>
    </w:p>
    <w:p>
      <w:pPr>
        <w:pStyle w:val="Normal"/>
        <w:spacing w:lineRule="auto" w:line="240" w:before="0" w:after="0"/>
        <w:ind w:right="-710"/>
        <w:rPr>
          <w:rFonts w:ascii="Arial" w:hAnsi="Arial" w:eastAsia="Times New Roman" w:cs="Arial"/>
          <w:b/>
        </w:rPr>
      </w:pPr>
      <w:r>
        <w:rPr>
          <w:rFonts w:eastAsia="Times New Roman" w:cs="Arial" w:ascii="Arial" w:hAnsi="Arial"/>
          <w:b/>
        </w:rPr>
        <w:t xml:space="preserve">A.3. Formación Académica </w:t>
      </w:r>
    </w:p>
    <w:p>
      <w:pPr>
        <w:pStyle w:val="Normal"/>
        <w:spacing w:lineRule="auto" w:line="240" w:before="0" w:after="0"/>
        <w:ind w:right="-710"/>
        <w:rPr>
          <w:rFonts w:ascii="Arial" w:hAnsi="Arial" w:eastAsia="Times New Roman" w:cs="Arial"/>
          <w:b/>
        </w:rPr>
      </w:pPr>
      <w:r>
        <w:rPr>
          <w:rFonts w:eastAsia="Times New Roman" w:cs="Arial" w:ascii="Arial" w:hAnsi="Arial"/>
          <w:b/>
        </w:rPr>
      </w:r>
    </w:p>
    <w:tbl>
      <w:tblPr>
        <w:tblStyle w:val="Tablaconcuadrcula"/>
        <w:tblW w:w="90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3256"/>
        <w:gridCol w:w="4531"/>
        <w:gridCol w:w="1273"/>
      </w:tblGrid>
      <w:tr>
        <w:trPr/>
        <w:tc>
          <w:tcPr>
            <w:tcW w:w="3256" w:type="dxa"/>
            <w:tcBorders/>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b/>
                <w:kern w:val="0"/>
                <w:lang w:val="nb-NO" w:bidi="ar-SA"/>
              </w:rPr>
              <w:t>Grado/Master/Tesis</w:t>
            </w:r>
          </w:p>
        </w:tc>
        <w:tc>
          <w:tcPr>
            <w:tcW w:w="4531" w:type="dxa"/>
            <w:tcBorders/>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b/>
                <w:kern w:val="0"/>
                <w:lang w:val="nb-NO" w:bidi="ar-SA"/>
              </w:rPr>
              <w:t>Universidad/Pais</w:t>
            </w:r>
          </w:p>
        </w:tc>
        <w:tc>
          <w:tcPr>
            <w:tcW w:w="1273" w:type="dxa"/>
            <w:tcBorders/>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b/>
                <w:kern w:val="0"/>
                <w:lang w:val="nb-NO" w:bidi="ar-SA"/>
              </w:rPr>
              <w:t>Año</w:t>
            </w:r>
          </w:p>
        </w:tc>
      </w:tr>
      <w:tr>
        <w:trPr/>
        <w:tc>
          <w:tcPr>
            <w:tcW w:w="3256"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Licenciado en Ciencias Físicas</w:t>
            </w:r>
          </w:p>
        </w:tc>
        <w:tc>
          <w:tcPr>
            <w:tcW w:w="4531"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Universidad de Granada</w:t>
            </w:r>
          </w:p>
        </w:tc>
        <w:tc>
          <w:tcPr>
            <w:tcW w:w="1273"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1985</w:t>
            </w:r>
          </w:p>
        </w:tc>
      </w:tr>
      <w:tr>
        <w:trPr/>
        <w:tc>
          <w:tcPr>
            <w:tcW w:w="3256"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Tesina licenciatura</w:t>
            </w:r>
          </w:p>
        </w:tc>
        <w:tc>
          <w:tcPr>
            <w:tcW w:w="4531"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Universidad de Granada</w:t>
            </w:r>
          </w:p>
        </w:tc>
        <w:tc>
          <w:tcPr>
            <w:tcW w:w="1273"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1986</w:t>
            </w:r>
          </w:p>
        </w:tc>
      </w:tr>
      <w:tr>
        <w:trPr/>
        <w:tc>
          <w:tcPr>
            <w:tcW w:w="3256"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Doctor en Ciencias Físicas</w:t>
            </w:r>
          </w:p>
        </w:tc>
        <w:tc>
          <w:tcPr>
            <w:tcW w:w="4531"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Universidad Complutense de Madrid</w:t>
            </w:r>
          </w:p>
        </w:tc>
        <w:tc>
          <w:tcPr>
            <w:tcW w:w="1273" w:type="dxa"/>
            <w:tcBorders/>
            <w:shd w:color="auto" w:fill="auto" w:val="clear"/>
            <w:vAlign w:val="center"/>
          </w:tcPr>
          <w:p>
            <w:pPr>
              <w:pStyle w:val="Normal"/>
              <w:widowControl/>
              <w:suppressAutoHyphens w:val="true"/>
              <w:spacing w:lineRule="auto" w:line="240" w:before="0" w:after="0"/>
              <w:ind w:right="-710"/>
              <w:jc w:val="left"/>
              <w:rPr>
                <w:rFonts w:ascii="Arial" w:hAnsi="Arial" w:eastAsia="Times New Roman" w:cs="Arial"/>
                <w:b/>
                <w:lang w:val="nb-NO"/>
              </w:rPr>
            </w:pPr>
            <w:r>
              <w:rPr>
                <w:rFonts w:eastAsia="Times New Roman" w:cs="Arial" w:ascii="Arial" w:hAnsi="Arial"/>
                <w:color w:val="000000"/>
                <w:kern w:val="0"/>
                <w:lang w:val="en-US" w:eastAsia="es-ES" w:bidi="ar-SA"/>
              </w:rPr>
              <w:t>1990</w:t>
            </w:r>
          </w:p>
        </w:tc>
      </w:tr>
    </w:tbl>
    <w:p>
      <w:pPr>
        <w:pStyle w:val="Normal"/>
        <w:spacing w:lineRule="auto" w:line="240" w:before="0" w:after="0"/>
        <w:rPr>
          <w:rFonts w:ascii="Arial" w:hAnsi="Arial" w:cs="Arial"/>
          <w:b/>
          <w:sz w:val="20"/>
          <w:szCs w:val="20"/>
        </w:rPr>
      </w:pPr>
      <w:r>
        <w:rPr>
          <w:rFonts w:cs="Arial" w:ascii="Arial" w:hAnsi="Arial"/>
          <w:b/>
          <w:sz w:val="20"/>
          <w:szCs w:val="20"/>
        </w:rPr>
      </w:r>
    </w:p>
    <w:p>
      <w:pPr>
        <w:pStyle w:val="Normal"/>
        <w:spacing w:lineRule="auto" w:line="240" w:before="0" w:after="0"/>
        <w:rPr>
          <w:rFonts w:ascii="Arial" w:hAnsi="Arial" w:cs="Arial"/>
          <w:b/>
          <w:sz w:val="20"/>
          <w:szCs w:val="20"/>
        </w:rPr>
      </w:pPr>
      <w:r>
        <w:rPr>
          <w:rFonts w:cs="Arial" w:ascii="Arial" w:hAnsi="Arial"/>
          <w:b/>
          <w:sz w:val="20"/>
          <w:szCs w:val="20"/>
        </w:rPr>
      </w:r>
    </w:p>
    <w:p>
      <w:pPr>
        <w:pStyle w:val="Normal"/>
        <w:spacing w:lineRule="auto" w:line="240" w:before="0" w:after="0"/>
        <w:rPr>
          <w:rFonts w:ascii="Arial" w:hAnsi="Arial" w:cs="Arial"/>
          <w:b/>
          <w:sz w:val="20"/>
          <w:szCs w:val="20"/>
        </w:rPr>
      </w:pPr>
      <w:r>
        <w:rPr>
          <w:rFonts w:cs="Arial" w:ascii="Arial" w:hAnsi="Arial"/>
          <w:b/>
          <w:sz w:val="20"/>
          <w:szCs w:val="20"/>
        </w:rPr>
      </w:r>
    </w:p>
    <w:p>
      <w:pPr>
        <w:pStyle w:val="ListParagraph"/>
        <w:spacing w:lineRule="auto" w:line="240" w:before="0" w:after="0"/>
        <w:ind w:left="0"/>
        <w:contextualSpacing/>
        <w:jc w:val="both"/>
        <w:rPr>
          <w:rFonts w:ascii="Arial" w:hAnsi="Arial" w:cs="Arial"/>
          <w:b/>
        </w:rPr>
      </w:pPr>
      <w:r>
        <w:rPr>
          <w:rFonts w:cs="Arial" w:ascii="Arial" w:hAnsi="Arial"/>
          <w:b/>
        </w:rPr>
      </w:r>
    </w:p>
    <w:p>
      <w:pPr>
        <w:pStyle w:val="ListParagraph"/>
        <w:spacing w:lineRule="auto" w:line="240" w:before="0" w:after="0"/>
        <w:ind w:left="0"/>
        <w:contextualSpacing/>
        <w:jc w:val="both"/>
        <w:rPr>
          <w:rFonts w:ascii="Arial" w:hAnsi="Arial" w:eastAsia="Times New Roman" w:cs="Arial"/>
          <w:i/>
          <w:i/>
        </w:rPr>
      </w:pPr>
      <w:r>
        <w:rPr>
          <w:rFonts w:cs="Arial" w:ascii="Arial" w:hAnsi="Arial"/>
          <w:b/>
        </w:rPr>
        <w:t xml:space="preserve">Parte B. RESUMEN DEL CV </w:t>
      </w:r>
      <w:r>
        <w:rPr>
          <w:rFonts w:cs="Arial" w:ascii="Arial" w:hAnsi="Arial"/>
          <w:i/>
        </w:rPr>
        <w:t xml:space="preserve">(máx. 5.000 caracteres, incluyendo espacios): </w:t>
      </w:r>
      <w:r>
        <w:rPr>
          <w:rFonts w:cs="Arial" w:ascii="Arial" w:hAnsi="Arial"/>
          <w:b/>
          <w:i/>
        </w:rPr>
        <w:t xml:space="preserve">MUY IMPORTANTE: </w:t>
      </w:r>
      <w:r>
        <w:rPr>
          <w:b/>
          <w:i/>
        </w:rPr>
        <w:t>se ha modificado el contenido de este apartado para progresar en la adecuación a los principios DORA. Lea atentamente las “Instrucciones para cumplimentar el CVA”</w:t>
      </w:r>
      <w:r>
        <w:rPr>
          <w:rFonts w:cs="Arial" w:ascii="Arial" w:hAnsi="Arial"/>
          <w:i/>
        </w:rPr>
        <w:t xml:space="preserve"> </w:t>
      </w:r>
    </w:p>
    <w:p>
      <w:pPr>
        <w:pStyle w:val="Normal"/>
        <w:spacing w:lineRule="auto" w:line="240" w:before="0" w:after="0"/>
        <w:jc w:val="both"/>
        <w:rPr>
          <w:rFonts w:ascii="Arial" w:hAnsi="Arial" w:cs="Arial"/>
        </w:rPr>
      </w:pPr>
      <w:r>
        <w:rPr>
          <w:rFonts w:cs="Arial" w:ascii="Arial" w:hAnsi="Arial"/>
        </w:rPr>
        <w:t xml:space="preserve">Francisco Domínguez-Adame Acosta es actualmente Catedrático en la Universidad Complutense de Madrid, a la que pertenece desde 1986. Tras defender su tesis doctoral en física experimental, por la que recibió el Premio Extraordinario de Doctorado en 1990, en el año 1993 fundó su propio grupo de investigación en física teórica de la materia condensada. Su interés científico se centró desde el principio en el estudio de las propiedades ópticas y de transporte de sistemas nanométricos, como pozos y puntos cuánticos, superredes de semiconductores y posteriormente sistemas moleculares (agregados J y moléculas quirales). Entre sus logros se puede destacar el diseño y modelización teórica del experimento que demostró por primera vez la existencia de estados extendidos en sistemas de baja dimensionalidad desordenados, probando así que la correlación en el desorden puede impedir la localización de Anderson. El artículo ha recibido hasta la fecha más de 300 citas y fue seleccionado por la Sociedad Italiana de Física como uno de las tres mejores contribuciones en física de la materia condensada en 1999. Su segundo artículo más citado, del cual es el único autor, demostraba la existencia de estados ligados en ciertas ecuaciones relativistas, y cuenta con más de 200 citas. Sus contribuciones científicas se recogen en más de 270 artículos científicos, que han recibido más de 6500 citas, y en dos libros. Además, es autor de otros dos libros de texto. Los indicadores generales de calidad de la producción científica son: </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Índice h y citas según Scopus: 37 y </w:t>
      </w:r>
      <w:r>
        <w:rPr>
          <w:rFonts w:cs="Arial" w:ascii="Arial" w:hAnsi="Arial"/>
          <w:lang w:val="es-ES_tradnl"/>
        </w:rPr>
        <w:t>48</w:t>
      </w:r>
      <w:r>
        <w:rPr>
          <w:rFonts w:cs="Arial" w:ascii="Arial" w:hAnsi="Arial"/>
          <w:lang w:val="es-ES_tradnl"/>
        </w:rPr>
        <w:t>70</w:t>
      </w:r>
      <w:r>
        <w:rPr>
          <w:rFonts w:cs="Arial" w:ascii="Arial" w:hAnsi="Arial"/>
          <w:lang w:val="es-ES_tradnl"/>
        </w:rPr>
        <w:t>.</w:t>
      </w:r>
    </w:p>
    <w:p>
      <w:pPr>
        <w:pStyle w:val="Normal"/>
        <w:spacing w:lineRule="auto" w:line="240" w:before="0" w:after="0"/>
        <w:jc w:val="both"/>
        <w:rPr>
          <w:rFonts w:ascii="Arial" w:hAnsi="Arial" w:cs="Arial"/>
        </w:rPr>
      </w:pPr>
      <w:r>
        <w:rPr>
          <w:rFonts w:cs="Arial" w:ascii="Arial" w:hAnsi="Arial"/>
        </w:rPr>
        <w:t xml:space="preserve">Índice h y citas según Google Scholar: 44 y </w:t>
      </w:r>
      <w:r>
        <w:rPr>
          <w:rFonts w:cs="Arial" w:ascii="Arial" w:hAnsi="Arial"/>
          <w:lang w:val="es-ES_tradnl"/>
        </w:rPr>
        <w:t>6</w:t>
      </w:r>
      <w:r>
        <w:rPr>
          <w:rFonts w:cs="Arial" w:ascii="Arial" w:hAnsi="Arial"/>
          <w:lang w:val="es-ES_tradnl"/>
        </w:rPr>
        <w:t>641</w:t>
      </w:r>
      <w:r>
        <w:rPr>
          <w:rFonts w:cs="Arial" w:ascii="Arial" w:hAnsi="Arial"/>
        </w:rPr>
        <w:t>.</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Desde los inicios de su carrera científica ha demostrado una elevada capacidad de liderazgo. Incluso antes de terminar la tesis doctoral dirigió la investigación de otros doctorandos del Departamento de Física de Materiales, con los que publicó diversos artículos al margen de sus respectivas tesis doctorales. Esta capacidad e iniciativa le permitió fundar el primer grupo de física teórica en el Departamento de Física de Materiales, donde hasta ese momento todos sus miembros eran físicos experimentales. En 1996 se defendió la primera tesis doctoral realizada por un doctorando del grupo, hasta un total de 12 tesis defendidas hasta la fecha. En todas las ocasiones en las que el marco normativo del momento lo permitía, las tesis han obtenido el sello “Doctorado Europeo” o “Mención Internacional”. De entre todas las tesis, tres han logrado el Premio Extraordinario de Doctorado y dos más han sido publicadas por la editorial Springer en la serie "Recognizing Outstanding Ph.D. Research". Actualmente está dirigiendo cuatro. También ha sido el investigador responsable de un contratado Ramón y Cajal, un contratado Juan de la Cierva, un contratado post-doctoral UNA4CARREER, un contratado post-doctoral Campus de Excelencia UCM-UPM, un contratado post-doctoral “María Zambrano” y dos contratados post-doctorales con cargo a proyecto, así como tres investigadores  en estancia sabática.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Ha sido investigador principal en más de 20 proyectos financiados, entre los que destacan seis del Plan Nacional de Tecnología de Materiales y dos del Plan Nacional de Física y Ciencias del Espacio.  Es director del grupo de investigación de la Universidad Complutense denominado Grupo Interdisciplinar de Sistemas Complejos: Modelización y Simulación, que ha sido catalogado por la Agencia Estatal de Investigación como Excelente. Durante tres años ha sido coordinador adjunto de la Agencia Nacional de Evaluación y Prospectiva, y también por tres años Coordinador del Área de Matemáticas, Física e Ingeniería de la Red Española de Supercomputación. Durante tres años y medio ha sido colaborador externo en los programas de seguimiento (entre otros, el programa de becas FPI) de la Agencia Estatal de Investigación. Desde 2018 a 2024 ha sido Coordinador del Programa de Doctorado en Física de la Universidad Complutense de Madrid.</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En diversas ocasiones ha sido coorganizador de congresos internacionales y en una ocasión ha sido presidente del comité organizador. En toda su carrera científica ha establecido y mantenido colaboraciones internacionales a través de proyectos bilateriales (acciones integradas, proyectos de la DFG alemana). Durante 10 meses (curso académico 2014/2015) ha sido profesor visitante en University of Warwick (UK). Las actividades de divulgación en el campo de la ciencia se han canalizado principalmente a través de la organización de talleres y jornadas para introducir a estudiantes de grado, de máster y de doctorado en el campo de la física de la materia condensada. Esta actividad formativa se ha visto reforzada por la dirección de trabajos académicamente dirigidos, de fin de grado y de fin de máster, en un promedio de dos o tres por año. </w:t>
      </w:r>
    </w:p>
    <w:p>
      <w:pPr>
        <w:pStyle w:val="Normal"/>
        <w:spacing w:lineRule="auto" w:line="240" w:before="0" w:after="0"/>
        <w:jc w:val="both"/>
        <w:rPr>
          <w:rFonts w:ascii="Liberation Sans" w:hAnsi="Liberation Sans"/>
          <w:sz w:val="20"/>
          <w:szCs w:val="20"/>
        </w:rPr>
      </w:pPr>
      <w:r>
        <w:rPr>
          <w:rFonts w:ascii="Liberation Sans" w:hAnsi="Liberation Sans"/>
          <w:sz w:val="20"/>
          <w:szCs w:val="20"/>
        </w:rPr>
      </w:r>
    </w:p>
    <w:p>
      <w:pPr>
        <w:pStyle w:val="Normal"/>
        <w:spacing w:lineRule="auto" w:line="240" w:before="0" w:after="0"/>
        <w:jc w:val="both"/>
        <w:rPr>
          <w:rFonts w:ascii="Arial" w:hAnsi="Arial" w:cs="Arial"/>
        </w:rPr>
      </w:pPr>
      <w:r>
        <w:rPr>
          <w:rFonts w:cs="Arial" w:ascii="Arial" w:hAnsi="Arial"/>
        </w:rPr>
        <w:t xml:space="preserve">Este Curriculum Vitae Abreviado recoge solo aquellos méritos de los </w:t>
      </w:r>
      <w:r>
        <w:rPr>
          <w:rFonts w:cs="Arial" w:ascii="Arial" w:hAnsi="Arial"/>
          <w:b/>
          <w:bCs/>
        </w:rPr>
        <w:t>últimos 5 años</w:t>
      </w:r>
      <w:r>
        <w:rPr>
          <w:rFonts w:cs="Arial" w:ascii="Arial" w:hAnsi="Arial"/>
        </w:rPr>
        <w:t xml:space="preserve"> que se consideran más relevantes para la presente convocatoria.</w:t>
      </w:r>
    </w:p>
    <w:p>
      <w:pPr>
        <w:pStyle w:val="Normal"/>
        <w:spacing w:lineRule="auto" w:line="240" w:before="0" w:after="0"/>
        <w:jc w:val="both"/>
        <w:rPr>
          <w:rFonts w:ascii="Arial" w:hAnsi="Arial" w:cs="Arial"/>
          <w:b/>
        </w:rPr>
      </w:pPr>
      <w:r>
        <w:rPr>
          <w:rFonts w:cs="Arial" w:ascii="Arial" w:hAnsi="Arial"/>
          <w:b/>
        </w:rPr>
      </w:r>
    </w:p>
    <w:p>
      <w:pPr>
        <w:pStyle w:val="Normal"/>
        <w:spacing w:lineRule="auto" w:line="240" w:before="0" w:after="120"/>
        <w:jc w:val="both"/>
        <w:rPr>
          <w:rFonts w:ascii="Arial" w:hAnsi="Arial" w:cs="Arial"/>
          <w:b/>
          <w:i/>
          <w:i/>
          <w:color w:val="A6A6A6"/>
        </w:rPr>
      </w:pPr>
      <w:r>
        <w:rPr>
          <w:rFonts w:cs="Arial" w:ascii="Arial" w:hAnsi="Arial"/>
          <w:b/>
        </w:rPr>
        <w:t>Parte C. LISTADO DE APORTACIONES MÁS RELEVANTES</w:t>
      </w:r>
    </w:p>
    <w:p>
      <w:pPr>
        <w:pStyle w:val="ListParagraph"/>
        <w:numPr>
          <w:ilvl w:val="0"/>
          <w:numId w:val="1"/>
        </w:numPr>
        <w:spacing w:lineRule="auto" w:line="240" w:before="0" w:after="120"/>
        <w:ind w:hanging="360" w:left="0"/>
        <w:contextualSpacing/>
        <w:rPr/>
      </w:pPr>
      <w:r>
        <w:rPr>
          <w:rFonts w:cs="Arial" w:ascii="Arial" w:hAnsi="Arial"/>
          <w:b/>
        </w:rPr>
        <w:t>C.1. Publicaciones más importantes en libros y revistas con “peer review”</w:t>
      </w:r>
    </w:p>
    <w:p>
      <w:pPr>
        <w:pStyle w:val="ListParagraph"/>
        <w:numPr>
          <w:ilvl w:val="0"/>
          <w:numId w:val="1"/>
        </w:numPr>
        <w:spacing w:lineRule="auto" w:line="240" w:before="0" w:after="120"/>
        <w:ind w:hanging="360" w:left="0"/>
        <w:contextualSpacing/>
        <w:rPr/>
      </w:pPr>
      <w:r>
        <w:rPr/>
      </w:r>
    </w:p>
    <w:p>
      <w:pPr>
        <w:pStyle w:val="ListParagraph"/>
        <w:numPr>
          <w:ilvl w:val="0"/>
          <w:numId w:val="3"/>
        </w:numPr>
        <w:spacing w:lineRule="auto" w:line="240" w:before="0" w:after="120"/>
        <w:contextualSpacing/>
        <w:rPr>
          <w:rFonts w:ascii="Arial" w:hAnsi="Arial" w:cs="Arial"/>
        </w:rPr>
      </w:pPr>
      <w:r>
        <w:rPr>
          <w:rFonts w:cs="Arial" w:ascii="Arial" w:hAnsi="Arial"/>
        </w:rPr>
        <w:t>Superballistic paradox in electron fluids: Evidence of tomographic transport</w:t>
      </w:r>
    </w:p>
    <w:p>
      <w:pPr>
        <w:pStyle w:val="ListParagraph"/>
        <w:numPr>
          <w:ilvl w:val="0"/>
          <w:numId w:val="0"/>
        </w:numPr>
        <w:spacing w:lineRule="auto" w:line="240" w:before="0" w:after="120"/>
        <w:ind w:hanging="0" w:left="720"/>
        <w:contextualSpacing/>
        <w:rPr>
          <w:rFonts w:ascii="Arial" w:hAnsi="Arial" w:cs="Arial"/>
        </w:rPr>
      </w:pPr>
      <w:r>
        <w:rPr>
          <w:rFonts w:cs="Arial" w:ascii="Arial" w:hAnsi="Arial"/>
        </w:rPr>
        <w:t xml:space="preserve">J. Estrada-Álvarez, E. Díaz </w:t>
      </w:r>
      <w:r>
        <w:rPr>
          <w:rFonts w:cs="Arial" w:ascii="Arial" w:hAnsi="Arial"/>
        </w:rPr>
        <w:t>y</w:t>
      </w:r>
      <w:r>
        <w:rPr>
          <w:rFonts w:cs="Arial" w:ascii="Arial" w:hAnsi="Arial"/>
        </w:rPr>
        <w:t xml:space="preserve"> F. Domínguez-Adame</w:t>
      </w:r>
    </w:p>
    <w:p>
      <w:pPr>
        <w:pStyle w:val="ListParagraph"/>
        <w:numPr>
          <w:ilvl w:val="0"/>
          <w:numId w:val="0"/>
        </w:numPr>
        <w:spacing w:lineRule="auto" w:line="240" w:before="0" w:after="120"/>
        <w:ind w:hanging="0" w:left="720"/>
        <w:contextualSpacing/>
        <w:rPr>
          <w:rFonts w:ascii="Arial" w:hAnsi="Arial" w:cs="Arial"/>
        </w:rPr>
      </w:pPr>
      <w:r>
        <w:rPr>
          <w:rFonts w:cs="Arial" w:ascii="Arial" w:hAnsi="Arial"/>
        </w:rPr>
        <w:t xml:space="preserve">Physical Review Letters </w:t>
      </w:r>
      <w:r>
        <w:rPr>
          <w:rFonts w:cs="Arial" w:ascii="Arial" w:hAnsi="Arial"/>
          <w:b/>
          <w:bCs/>
        </w:rPr>
        <w:t>135</w:t>
      </w:r>
      <w:r>
        <w:rPr>
          <w:rFonts w:cs="Arial" w:ascii="Arial" w:hAnsi="Arial"/>
        </w:rPr>
        <w:t xml:space="preserve">, 206301 (2025). </w:t>
      </w:r>
      <w:hyperlink r:id="rId2">
        <w:r>
          <w:rPr>
            <w:rStyle w:val="Hyperlink"/>
            <w:rFonts w:cs="Arial" w:ascii="Arial" w:hAnsi="Arial"/>
          </w:rPr>
          <w:t xml:space="preserve">DOI: </w:t>
        </w:r>
        <w:r>
          <w:rPr>
            <w:rStyle w:val="Hyperlink"/>
            <w:rFonts w:cs="Arial" w:ascii="Arial" w:hAnsi="Arial"/>
          </w:rPr>
          <w:t>10.1103/xsjh-lq5h</w:t>
        </w:r>
      </w:hyperlink>
      <w:r>
        <w:rPr>
          <w:rFonts w:cs="Arial" w:ascii="Arial" w:hAnsi="Arial"/>
        </w:rPr>
        <w:t xml:space="preserve"> </w:t>
      </w:r>
    </w:p>
    <w:p>
      <w:pPr>
        <w:pStyle w:val="ListParagraph"/>
        <w:numPr>
          <w:ilvl w:val="0"/>
          <w:numId w:val="3"/>
        </w:numPr>
        <w:spacing w:lineRule="auto" w:line="240" w:before="0" w:after="120"/>
        <w:contextualSpacing/>
        <w:rPr>
          <w:rFonts w:ascii="Arial" w:hAnsi="Arial" w:cs="Arial"/>
        </w:rPr>
      </w:pPr>
      <w:r>
        <w:rPr>
          <w:rFonts w:cs="Arial" w:ascii="Arial" w:hAnsi="Arial"/>
        </w:rPr>
        <w:t>Superballistic conduction in hydrodynamic antidot graphene superlattices</w:t>
      </w:r>
    </w:p>
    <w:p>
      <w:pPr>
        <w:pStyle w:val="ListParagraph"/>
        <w:numPr>
          <w:ilvl w:val="0"/>
          <w:numId w:val="0"/>
        </w:numPr>
        <w:spacing w:lineRule="auto" w:line="240" w:before="0" w:after="120"/>
        <w:ind w:hanging="0" w:left="720"/>
        <w:contextualSpacing/>
        <w:rPr>
          <w:rFonts w:ascii="Arial" w:hAnsi="Arial" w:cs="Arial"/>
        </w:rPr>
      </w:pPr>
      <w:r>
        <w:rPr>
          <w:rFonts w:cs="Arial" w:ascii="Arial" w:hAnsi="Arial"/>
        </w:rPr>
        <w:t xml:space="preserve">J. Estrada-Álvarez, J. Salvador-Sánchez, A. Pérez-Rodríguez, C. Sánchez-Sánchez, V. Clericò, D. Vaquero, K. Watanabe, T. Taniguchi, E. Diez, </w:t>
      </w:r>
      <w:r>
        <w:rPr>
          <w:rFonts w:cs="Arial" w:ascii="Arial" w:hAnsi="Arial"/>
          <w:b/>
          <w:bCs/>
        </w:rPr>
        <w:t>F. Domínguez-Adame</w:t>
      </w:r>
      <w:r>
        <w:rPr>
          <w:rFonts w:cs="Arial" w:ascii="Arial" w:hAnsi="Arial"/>
        </w:rPr>
        <w:t>, M. Amado y E. Díaz</w:t>
      </w:r>
    </w:p>
    <w:p>
      <w:pPr>
        <w:pStyle w:val="ListParagraph"/>
        <w:numPr>
          <w:ilvl w:val="0"/>
          <w:numId w:val="0"/>
        </w:numPr>
        <w:spacing w:lineRule="auto" w:line="240" w:before="0" w:after="120"/>
        <w:ind w:hanging="0" w:left="720"/>
        <w:contextualSpacing/>
        <w:rPr>
          <w:rFonts w:ascii="Arial" w:hAnsi="Arial" w:cs="Arial"/>
        </w:rPr>
      </w:pPr>
      <w:r>
        <w:rPr>
          <w:rFonts w:cs="Arial" w:ascii="Arial" w:hAnsi="Arial"/>
        </w:rPr>
        <w:t xml:space="preserve">Physical Review X </w:t>
      </w:r>
      <w:r>
        <w:rPr>
          <w:rFonts w:cs="Arial" w:ascii="Arial" w:hAnsi="Arial"/>
          <w:b/>
          <w:bCs/>
        </w:rPr>
        <w:t>15</w:t>
      </w:r>
      <w:r>
        <w:rPr>
          <w:rFonts w:cs="Arial" w:ascii="Arial" w:hAnsi="Arial"/>
        </w:rPr>
        <w:t xml:space="preserve">, 011039 (2025). </w:t>
      </w:r>
      <w:hyperlink r:id="rId3">
        <w:r>
          <w:rPr>
            <w:rStyle w:val="Hyperlink"/>
            <w:rFonts w:cs="Arial" w:ascii="Arial" w:hAnsi="Arial"/>
          </w:rPr>
          <w:t>DOI: 10.1103/PhysRevX.15.011039</w:t>
        </w:r>
      </w:hyperlink>
    </w:p>
    <w:p>
      <w:pPr>
        <w:pStyle w:val="ListParagraph"/>
        <w:numPr>
          <w:ilvl w:val="0"/>
          <w:numId w:val="3"/>
        </w:numPr>
        <w:spacing w:lineRule="auto" w:line="240" w:before="0" w:after="120"/>
        <w:contextualSpacing/>
        <w:rPr>
          <w:rFonts w:ascii="Arial" w:hAnsi="Arial" w:cs="Arial"/>
        </w:rPr>
      </w:pPr>
      <w:r>
        <w:rPr>
          <w:rFonts w:cs="Arial" w:ascii="Arial" w:hAnsi="Arial"/>
        </w:rPr>
        <w:t>Polarization-sensitive photoresponse in few-layer ZrSe</w:t>
      </w:r>
      <w:r>
        <w:rPr>
          <w:rFonts w:cs="Arial" w:ascii="Arial" w:hAnsi="Arial"/>
          <w:vertAlign w:val="subscript"/>
        </w:rPr>
        <w:t>3</w:t>
      </w:r>
      <w:r>
        <w:rPr>
          <w:rFonts w:cs="Arial" w:ascii="Arial" w:hAnsi="Arial"/>
        </w:rPr>
        <w:t xml:space="preserve"> photodetectors</w:t>
      </w:r>
    </w:p>
    <w:p>
      <w:pPr>
        <w:pStyle w:val="ListParagraph"/>
        <w:spacing w:lineRule="auto" w:line="240" w:before="0" w:after="120"/>
        <w:contextualSpacing/>
        <w:rPr>
          <w:rFonts w:ascii="Arial" w:hAnsi="Arial" w:cs="Arial"/>
        </w:rPr>
      </w:pPr>
      <w:r>
        <w:rPr>
          <w:rFonts w:cs="Arial" w:ascii="Arial" w:hAnsi="Arial"/>
        </w:rPr>
        <w:t xml:space="preserve">P. L. Alcázar Ruano, D. Vaquero, E. Sánchez Viso, H. Li, F. Mompeán, </w:t>
      </w:r>
      <w:r>
        <w:rPr>
          <w:rFonts w:cs="Arial" w:ascii="Arial" w:hAnsi="Arial"/>
          <w:b/>
          <w:bCs/>
        </w:rPr>
        <w:t>F. Domínguez-Adame</w:t>
      </w:r>
      <w:r>
        <w:rPr>
          <w:rFonts w:cs="Arial" w:ascii="Arial" w:hAnsi="Arial"/>
        </w:rPr>
        <w:t>, A. Castellanos-Gomez y J. Quereda</w:t>
      </w:r>
    </w:p>
    <w:p>
      <w:pPr>
        <w:pStyle w:val="ListParagraph"/>
        <w:spacing w:lineRule="auto" w:line="240" w:before="0" w:after="120"/>
        <w:contextualSpacing/>
        <w:rPr>
          <w:rFonts w:ascii="Arial" w:hAnsi="Arial" w:cs="Arial"/>
        </w:rPr>
      </w:pPr>
      <w:r>
        <w:rPr>
          <w:rFonts w:cs="Arial" w:ascii="Arial" w:hAnsi="Arial"/>
        </w:rPr>
        <w:t xml:space="preserve">2D Materials </w:t>
      </w:r>
      <w:r>
        <w:rPr>
          <w:rFonts w:cs="Arial" w:ascii="Arial" w:hAnsi="Arial"/>
          <w:b/>
          <w:bCs/>
        </w:rPr>
        <w:t>12</w:t>
      </w:r>
      <w:r>
        <w:rPr>
          <w:rFonts w:cs="Arial" w:ascii="Arial" w:hAnsi="Arial"/>
        </w:rPr>
        <w:t xml:space="preserve">, 015014 (2025). </w:t>
      </w:r>
      <w:hyperlink r:id="rId4">
        <w:r>
          <w:rPr>
            <w:rStyle w:val="Hyperlink"/>
            <w:rFonts w:cs="Arial" w:ascii="Arial" w:hAnsi="Arial"/>
          </w:rPr>
          <w:t>DOI: 10.1088/2053-1583/ad9287</w:t>
        </w:r>
      </w:hyperlink>
    </w:p>
    <w:p>
      <w:pPr>
        <w:pStyle w:val="ListParagraph"/>
        <w:numPr>
          <w:ilvl w:val="0"/>
          <w:numId w:val="3"/>
        </w:numPr>
        <w:spacing w:lineRule="auto" w:line="240" w:before="0" w:after="120"/>
        <w:contextualSpacing/>
        <w:rPr>
          <w:rFonts w:ascii="Arial" w:hAnsi="Arial" w:cs="Arial"/>
        </w:rPr>
      </w:pPr>
      <w:r>
        <w:rPr>
          <w:rFonts w:cs="Arial" w:ascii="Arial" w:hAnsi="Arial"/>
        </w:rPr>
        <w:t>Negative differential resistance of viscous electron flow in graphene</w:t>
      </w:r>
    </w:p>
    <w:p>
      <w:pPr>
        <w:pStyle w:val="ListParagraph"/>
        <w:spacing w:lineRule="auto" w:line="240" w:before="0" w:after="120"/>
        <w:contextualSpacing/>
        <w:rPr>
          <w:rFonts w:ascii="Arial" w:hAnsi="Arial" w:cs="Arial"/>
        </w:rPr>
      </w:pPr>
      <w:r>
        <w:rPr>
          <w:rFonts w:cs="Arial" w:ascii="Arial" w:hAnsi="Arial"/>
        </w:rPr>
        <w:t xml:space="preserve">J. Álvarez-Estrada, E. Díaz y </w:t>
      </w:r>
      <w:r>
        <w:rPr>
          <w:rFonts w:cs="Arial" w:ascii="Arial" w:hAnsi="Arial"/>
          <w:b/>
          <w:bCs/>
        </w:rPr>
        <w:t>F. Domínguez-Adame</w:t>
      </w:r>
    </w:p>
    <w:p>
      <w:pPr>
        <w:pStyle w:val="ListParagraph"/>
        <w:spacing w:lineRule="auto" w:line="240" w:before="0" w:after="120"/>
        <w:contextualSpacing/>
        <w:rPr>
          <w:rFonts w:ascii="Arial" w:hAnsi="Arial" w:cs="Arial"/>
        </w:rPr>
      </w:pPr>
      <w:r>
        <w:rPr>
          <w:rFonts w:cs="Arial" w:ascii="Arial" w:hAnsi="Arial"/>
        </w:rPr>
        <w:t xml:space="preserve">2D Materials </w:t>
      </w:r>
      <w:r>
        <w:rPr>
          <w:rFonts w:cs="Arial" w:ascii="Arial" w:hAnsi="Arial"/>
          <w:b/>
          <w:bCs/>
        </w:rPr>
        <w:t>12</w:t>
      </w:r>
      <w:r>
        <w:rPr>
          <w:rFonts w:cs="Arial" w:ascii="Arial" w:hAnsi="Arial"/>
        </w:rPr>
        <w:t xml:space="preserve">, 015012 (2024). </w:t>
      </w:r>
      <w:hyperlink r:id="rId5">
        <w:r>
          <w:rPr>
            <w:rStyle w:val="Hyperlink"/>
            <w:rFonts w:cs="Arial" w:ascii="Arial" w:hAnsi="Arial"/>
          </w:rPr>
          <w:t>DOI: 10.1088/2053-1583/ad8d65</w:t>
        </w:r>
      </w:hyperlink>
    </w:p>
    <w:p>
      <w:pPr>
        <w:pStyle w:val="ListParagraph"/>
        <w:numPr>
          <w:ilvl w:val="0"/>
          <w:numId w:val="3"/>
        </w:numPr>
        <w:spacing w:lineRule="auto" w:line="240" w:before="0" w:after="120"/>
        <w:contextualSpacing/>
        <w:rPr>
          <w:rFonts w:ascii="Arial" w:hAnsi="Arial" w:cs="Arial"/>
        </w:rPr>
      </w:pPr>
      <w:r>
        <w:rPr>
          <w:rFonts w:cs="Arial" w:ascii="Arial" w:hAnsi="Arial"/>
        </w:rPr>
        <w:t>Alternative routes to electron hydrodynamics</w:t>
      </w:r>
    </w:p>
    <w:p>
      <w:pPr>
        <w:pStyle w:val="ListParagraph"/>
        <w:spacing w:lineRule="auto" w:line="240" w:before="0" w:after="120"/>
        <w:contextualSpacing/>
        <w:rPr>
          <w:rFonts w:ascii="Arial" w:hAnsi="Arial" w:cs="Arial"/>
        </w:rPr>
      </w:pPr>
      <w:r>
        <w:rPr>
          <w:rFonts w:cs="Arial" w:ascii="Arial" w:hAnsi="Arial"/>
        </w:rPr>
        <w:t xml:space="preserve">J. Estrada, </w:t>
      </w:r>
      <w:r>
        <w:rPr>
          <w:rFonts w:cs="Arial" w:ascii="Arial" w:hAnsi="Arial"/>
          <w:b/>
          <w:bCs/>
        </w:rPr>
        <w:t>F. Domínguez-Adame</w:t>
      </w:r>
      <w:r>
        <w:rPr>
          <w:rFonts w:cs="Arial" w:ascii="Arial" w:hAnsi="Arial"/>
        </w:rPr>
        <w:t xml:space="preserve"> y E. Díaz</w:t>
      </w:r>
    </w:p>
    <w:p>
      <w:pPr>
        <w:pStyle w:val="ListParagraph"/>
        <w:spacing w:lineRule="auto" w:line="240" w:before="0" w:after="120"/>
        <w:contextualSpacing/>
        <w:rPr>
          <w:rFonts w:ascii="Arial" w:hAnsi="Arial" w:cs="Arial"/>
        </w:rPr>
      </w:pPr>
      <w:r>
        <w:rPr>
          <w:rFonts w:cs="Arial" w:ascii="Arial" w:hAnsi="Arial"/>
        </w:rPr>
        <w:t xml:space="preserve">Communications Physics </w:t>
      </w:r>
      <w:r>
        <w:rPr>
          <w:rFonts w:cs="Arial" w:ascii="Arial" w:hAnsi="Arial"/>
          <w:b/>
          <w:bCs/>
        </w:rPr>
        <w:t>7</w:t>
      </w:r>
      <w:r>
        <w:rPr>
          <w:rFonts w:cs="Arial" w:ascii="Arial" w:hAnsi="Arial"/>
        </w:rPr>
        <w:t xml:space="preserve">, 138 (2024). </w:t>
      </w:r>
      <w:hyperlink r:id="rId6">
        <w:r>
          <w:rPr>
            <w:rStyle w:val="Hyperlink"/>
            <w:rFonts w:cs="Arial" w:ascii="Arial" w:hAnsi="Arial"/>
          </w:rPr>
          <w:t>DOI: 10.1038/s42005-024-01632-7</w:t>
        </w:r>
      </w:hyperlink>
    </w:p>
    <w:p>
      <w:pPr>
        <w:pStyle w:val="ListParagraph"/>
        <w:numPr>
          <w:ilvl w:val="0"/>
          <w:numId w:val="3"/>
        </w:numPr>
        <w:spacing w:lineRule="auto" w:line="240" w:before="0" w:after="120"/>
        <w:contextualSpacing/>
        <w:rPr>
          <w:rFonts w:ascii="Arial" w:hAnsi="Arial" w:cs="Arial"/>
        </w:rPr>
      </w:pPr>
      <w:r>
        <w:rPr>
          <w:rFonts w:cs="Arial" w:ascii="Arial" w:hAnsi="Arial"/>
        </w:rPr>
        <w:t>Spin-resolved magneto-tunneling and giant g-factor in broken gap InAs-GaSb core-shell nanowires</w:t>
      </w:r>
    </w:p>
    <w:p>
      <w:pPr>
        <w:pStyle w:val="ListParagraph"/>
        <w:spacing w:lineRule="auto" w:line="240" w:before="0" w:after="120"/>
        <w:contextualSpacing/>
        <w:rPr>
          <w:rFonts w:ascii="Arial" w:hAnsi="Arial" w:cs="Arial"/>
        </w:rPr>
      </w:pPr>
      <w:r>
        <w:rPr>
          <w:rFonts w:cs="Arial" w:ascii="Arial" w:hAnsi="Arial"/>
        </w:rPr>
        <w:t xml:space="preserve">V. Clericò, P. Wojcik, A. Vezzosi, M. Rocci, V. Demontis, V. Zannier, Á. Díaz-Fernández, E. Díaz, V. Bellani, </w:t>
      </w:r>
      <w:r>
        <w:rPr>
          <w:rFonts w:cs="Arial" w:ascii="Arial" w:hAnsi="Arial"/>
          <w:b/>
          <w:bCs/>
        </w:rPr>
        <w:t>F. Domínguez-Adame</w:t>
      </w:r>
      <w:r>
        <w:rPr>
          <w:rFonts w:cs="Arial" w:ascii="Arial" w:hAnsi="Arial"/>
        </w:rPr>
        <w:t>, E. Diez, L. Sorba, A. Bertoni, G. Goldoni y F. Rossella</w:t>
      </w:r>
    </w:p>
    <w:p>
      <w:pPr>
        <w:pStyle w:val="ListParagraph"/>
        <w:spacing w:lineRule="auto" w:line="240" w:before="0" w:after="120"/>
        <w:contextualSpacing/>
        <w:rPr>
          <w:rFonts w:ascii="Arial" w:hAnsi="Arial" w:cs="Arial"/>
        </w:rPr>
      </w:pPr>
      <w:r>
        <w:rPr>
          <w:rFonts w:cs="Arial" w:ascii="Arial" w:hAnsi="Arial"/>
        </w:rPr>
        <w:t xml:space="preserve">Nano Letters </w:t>
      </w:r>
      <w:r>
        <w:rPr>
          <w:rFonts w:cs="Arial" w:ascii="Arial" w:hAnsi="Arial"/>
          <w:b/>
          <w:bCs/>
        </w:rPr>
        <w:t>24</w:t>
      </w:r>
      <w:r>
        <w:rPr>
          <w:rFonts w:cs="Arial" w:ascii="Arial" w:hAnsi="Arial"/>
        </w:rPr>
        <w:t xml:space="preserve">, 790 (2024). </w:t>
      </w:r>
      <w:hyperlink r:id="rId7">
        <w:r>
          <w:rPr>
            <w:rStyle w:val="Hyperlink"/>
            <w:rFonts w:cs="Arial" w:ascii="Arial" w:hAnsi="Arial"/>
          </w:rPr>
          <w:t>DOI: 10.1021/acs.nanolett.3c02559</w:t>
        </w:r>
      </w:hyperlink>
    </w:p>
    <w:p>
      <w:pPr>
        <w:pStyle w:val="ListParagraph"/>
        <w:numPr>
          <w:ilvl w:val="0"/>
          <w:numId w:val="3"/>
        </w:numPr>
        <w:spacing w:lineRule="auto" w:line="240" w:before="0" w:after="120"/>
        <w:contextualSpacing/>
        <w:rPr>
          <w:rFonts w:ascii="Arial" w:hAnsi="Arial" w:cs="Arial"/>
        </w:rPr>
      </w:pPr>
      <w:r>
        <w:rPr>
          <w:rFonts w:cs="Arial" w:ascii="Arial" w:hAnsi="Arial"/>
        </w:rPr>
        <w:t>Polarization-tuneable excitonic spectral features in the optoelectronic response of atomically thin ReS</w:t>
      </w:r>
      <w:r>
        <w:rPr>
          <w:rFonts w:cs="Arial" w:ascii="Arial" w:hAnsi="Arial"/>
          <w:vertAlign w:val="subscript"/>
        </w:rPr>
        <w:t>2</w:t>
      </w:r>
    </w:p>
    <w:p>
      <w:pPr>
        <w:pStyle w:val="ListParagraph"/>
        <w:spacing w:lineRule="auto" w:line="240" w:before="0" w:after="120"/>
        <w:contextualSpacing/>
        <w:rPr>
          <w:rFonts w:ascii="Arial" w:hAnsi="Arial" w:cs="Arial"/>
        </w:rPr>
      </w:pPr>
      <w:r>
        <w:rPr>
          <w:rFonts w:cs="Arial" w:ascii="Arial" w:hAnsi="Arial"/>
        </w:rPr>
        <w:t xml:space="preserve">D. Vaquero-Monte, O. Arroyo-Gascón, J. Salvador-Sánchez, P. L. Alcázar-Ruano, E. Diez, A. Pérez-Rodríguez, J. D. Correa, </w:t>
      </w:r>
      <w:r>
        <w:rPr>
          <w:rFonts w:cs="Arial" w:ascii="Arial" w:hAnsi="Arial"/>
          <w:b/>
          <w:bCs/>
        </w:rPr>
        <w:t>F. Domínguez-Adame</w:t>
      </w:r>
      <w:r>
        <w:rPr>
          <w:rFonts w:cs="Arial" w:ascii="Arial" w:hAnsi="Arial"/>
        </w:rPr>
        <w:t>, L. Chico y J. Quereda</w:t>
      </w:r>
    </w:p>
    <w:p>
      <w:pPr>
        <w:pStyle w:val="ListParagraph"/>
        <w:spacing w:lineRule="auto" w:line="240" w:before="0" w:after="120"/>
        <w:contextualSpacing/>
        <w:rPr>
          <w:rFonts w:ascii="Arial" w:hAnsi="Arial" w:cs="Arial"/>
        </w:rPr>
      </w:pPr>
      <w:r>
        <w:rPr>
          <w:rFonts w:cs="Arial" w:ascii="Arial" w:hAnsi="Arial"/>
        </w:rPr>
        <w:t xml:space="preserve">2D Materials 11, 015011 (2024). </w:t>
      </w:r>
      <w:hyperlink r:id="rId8">
        <w:r>
          <w:rPr>
            <w:rStyle w:val="Hyperlink"/>
            <w:rFonts w:cs="Arial" w:ascii="Arial" w:hAnsi="Arial"/>
          </w:rPr>
          <w:t>DOI: 10.1088/2053-1583/ad0402</w:t>
        </w:r>
      </w:hyperlink>
    </w:p>
    <w:p>
      <w:pPr>
        <w:pStyle w:val="ListParagraph"/>
        <w:numPr>
          <w:ilvl w:val="0"/>
          <w:numId w:val="3"/>
        </w:numPr>
        <w:spacing w:lineRule="auto" w:line="240" w:before="0" w:after="120"/>
        <w:contextualSpacing/>
        <w:rPr>
          <w:rFonts w:ascii="Arial" w:hAnsi="Arial" w:cs="Arial"/>
        </w:rPr>
      </w:pPr>
      <w:r>
        <w:rPr>
          <w:rFonts w:cs="Arial" w:ascii="Arial" w:hAnsi="Arial"/>
        </w:rPr>
        <w:t xml:space="preserve">Persistence of symmetry-protected Dirac points at the surface of the topological crystalline insulator SnTe upon impurity doping. O. Arroyo-Gascón, Y. Baba, J. I. Cerdá, O. de Abril, R. Martínez, </w:t>
      </w:r>
      <w:r>
        <w:rPr>
          <w:rFonts w:cs="Arial" w:ascii="Arial" w:hAnsi="Arial"/>
          <w:b/>
        </w:rPr>
        <w:t>F. Domínguez-Adame</w:t>
      </w:r>
      <w:r>
        <w:rPr>
          <w:rFonts w:cs="Arial" w:ascii="Arial" w:hAnsi="Arial"/>
        </w:rPr>
        <w:t xml:space="preserve"> y L. Chico. Nanoscale </w:t>
      </w:r>
      <w:r>
        <w:rPr>
          <w:rFonts w:cs="Arial" w:ascii="Arial" w:hAnsi="Arial"/>
          <w:b/>
        </w:rPr>
        <w:t>14</w:t>
      </w:r>
      <w:r>
        <w:rPr>
          <w:rFonts w:cs="Arial" w:ascii="Arial" w:hAnsi="Arial"/>
        </w:rPr>
        <w:t xml:space="preserve">, 7151 (2022). </w:t>
      </w:r>
      <w:hyperlink r:id="rId9">
        <w:r>
          <w:rPr>
            <w:rStyle w:val="Hyperlink"/>
            <w:rFonts w:cs="Arial" w:ascii="Arial" w:hAnsi="Arial"/>
          </w:rPr>
          <w:t>DOI: 10.1103/PhysRevB.106.045129</w:t>
        </w:r>
      </w:hyperlink>
    </w:p>
    <w:p>
      <w:pPr>
        <w:pStyle w:val="ListParagraph"/>
        <w:numPr>
          <w:ilvl w:val="0"/>
          <w:numId w:val="3"/>
        </w:numPr>
        <w:spacing w:lineRule="auto" w:line="240" w:before="0" w:after="120"/>
        <w:contextualSpacing/>
        <w:rPr>
          <w:rFonts w:ascii="Arial" w:hAnsi="Arial" w:cs="Arial"/>
        </w:rPr>
      </w:pPr>
      <w:r>
        <w:rPr>
          <w:rFonts w:cs="Arial" w:ascii="Arial" w:hAnsi="Arial"/>
        </w:rPr>
        <w:t>Fast response photogating in monolayer MoS</w:t>
      </w:r>
      <w:r>
        <w:rPr>
          <w:rFonts w:cs="Arial" w:ascii="Arial" w:hAnsi="Arial"/>
          <w:vertAlign w:val="subscript"/>
        </w:rPr>
        <w:t>2</w:t>
      </w:r>
      <w:r>
        <w:rPr>
          <w:rFonts w:cs="Arial" w:ascii="Arial" w:hAnsi="Arial"/>
        </w:rPr>
        <w:t xml:space="preserve"> phototransistors. D. Vaquero, V. Clericò, J. Salvador-Sánchez, E. Díaz, </w:t>
      </w:r>
      <w:r>
        <w:rPr>
          <w:rFonts w:cs="Arial" w:ascii="Arial" w:hAnsi="Arial"/>
          <w:b/>
        </w:rPr>
        <w:t>F. Domínguez-Adame</w:t>
      </w:r>
      <w:r>
        <w:rPr>
          <w:rFonts w:cs="Arial" w:ascii="Arial" w:hAnsi="Arial"/>
        </w:rPr>
        <w:t xml:space="preserve">, L. Chico, Y. M. Meziani, E. Diez y J. Quereda. Nanoscale </w:t>
      </w:r>
      <w:r>
        <w:rPr>
          <w:rFonts w:cs="Arial" w:ascii="Arial" w:hAnsi="Arial"/>
          <w:b/>
        </w:rPr>
        <w:t>13</w:t>
      </w:r>
      <w:r>
        <w:rPr>
          <w:rFonts w:cs="Arial" w:ascii="Arial" w:hAnsi="Arial"/>
        </w:rPr>
        <w:t xml:space="preserve">, 16156 (2021). </w:t>
      </w:r>
      <w:hyperlink r:id="rId10">
        <w:r>
          <w:rPr>
            <w:rStyle w:val="Hyperlink"/>
            <w:rFonts w:cs="Arial" w:ascii="Arial" w:hAnsi="Arial"/>
          </w:rPr>
          <w:t>DOI: 10.1039/d1nr03896f</w:t>
        </w:r>
      </w:hyperlink>
    </w:p>
    <w:p>
      <w:pPr>
        <w:pStyle w:val="ListParagraph"/>
        <w:numPr>
          <w:ilvl w:val="0"/>
          <w:numId w:val="3"/>
        </w:numPr>
        <w:spacing w:lineRule="auto" w:line="240" w:before="0" w:after="120"/>
        <w:contextualSpacing/>
        <w:rPr>
          <w:rFonts w:ascii="Arial" w:hAnsi="Arial" w:cs="Arial"/>
        </w:rPr>
      </w:pPr>
      <w:r>
        <w:rPr>
          <w:rFonts w:cs="Arial" w:ascii="Arial" w:hAnsi="Arial"/>
        </w:rPr>
        <w:t xml:space="preserve">Excitons, trions and Rydberg states in monolayer MoS2 revealed by low-temperature photocurrent spectroscopy. D. Vaquero, V. Clericò, J. Salvador-Sánchez, A. Martín-Ramos, E. Díaz, </w:t>
      </w:r>
      <w:r>
        <w:rPr>
          <w:rFonts w:cs="Arial" w:ascii="Arial" w:hAnsi="Arial"/>
          <w:b/>
        </w:rPr>
        <w:t>F. Domínguez-Adame</w:t>
      </w:r>
      <w:r>
        <w:rPr>
          <w:rFonts w:cs="Arial" w:ascii="Arial" w:hAnsi="Arial"/>
        </w:rPr>
        <w:t xml:space="preserve">, Y. M. Meziani, E. Diez y J. Quereda. Communications Physics </w:t>
      </w:r>
      <w:r>
        <w:rPr>
          <w:rFonts w:cs="Arial" w:ascii="Arial" w:hAnsi="Arial"/>
          <w:b/>
        </w:rPr>
        <w:t>3</w:t>
      </w:r>
      <w:r>
        <w:rPr>
          <w:rFonts w:cs="Arial" w:ascii="Arial" w:hAnsi="Arial"/>
        </w:rPr>
        <w:t xml:space="preserve">, 194 (2020). </w:t>
      </w:r>
      <w:hyperlink r:id="rId11">
        <w:r>
          <w:rPr>
            <w:rStyle w:val="Hyperlink"/>
            <w:rFonts w:cs="Arial" w:ascii="Arial" w:hAnsi="Arial"/>
          </w:rPr>
          <w:t>DOI: 10.1038/s42005-020-00460-9</w:t>
        </w:r>
      </w:hyperlink>
    </w:p>
    <w:p>
      <w:pPr>
        <w:pStyle w:val="Normal"/>
        <w:spacing w:lineRule="auto" w:line="240" w:before="0" w:after="120"/>
        <w:rPr>
          <w:rFonts w:ascii="Arial" w:hAnsi="Arial" w:cs="Arial"/>
        </w:rPr>
      </w:pPr>
      <w:r>
        <w:rPr>
          <w:rFonts w:cs="Arial" w:ascii="Arial" w:hAnsi="Arial"/>
        </w:rPr>
      </w:r>
    </w:p>
    <w:p>
      <w:pPr>
        <w:pStyle w:val="Normal"/>
        <w:spacing w:lineRule="auto" w:line="240" w:before="0" w:after="120"/>
        <w:rPr>
          <w:rFonts w:ascii="Arial" w:hAnsi="Arial" w:cs="Arial"/>
        </w:rPr>
      </w:pPr>
      <w:r>
        <w:rPr>
          <w:rFonts w:cs="Arial" w:ascii="Arial" w:hAnsi="Arial"/>
        </w:rPr>
      </w:r>
    </w:p>
    <w:p>
      <w:pPr>
        <w:pStyle w:val="Normal"/>
        <w:spacing w:before="0" w:after="120"/>
        <w:rPr>
          <w:rFonts w:ascii="Arial" w:hAnsi="Arial" w:eastAsia="Times New Roman" w:cs="Arial"/>
          <w:i/>
          <w:i/>
          <w:color w:val="000000"/>
          <w:lang w:val="es-ES_tradnl" w:eastAsia="es-ES"/>
        </w:rPr>
      </w:pPr>
      <w:r>
        <w:rPr>
          <w:rFonts w:cs="Arial" w:ascii="Arial" w:hAnsi="Arial"/>
          <w:b/>
        </w:rPr>
        <w:t xml:space="preserve">C.2. </w:t>
      </w:r>
      <w:r>
        <w:rPr>
          <w:rFonts w:eastAsia="Times New Roman" w:cs="Arial" w:ascii="Arial" w:hAnsi="Arial"/>
          <w:b/>
          <w:color w:val="000000"/>
          <w:lang w:val="es-ES_tradnl" w:eastAsia="es-ES"/>
        </w:rPr>
        <w:t xml:space="preserve">Congresos. </w:t>
      </w:r>
      <w:r>
        <w:rPr>
          <w:rFonts w:cs="Arial" w:ascii="Arial" w:hAnsi="Arial"/>
        </w:rPr>
        <w:t>Comunicaciones  en congresos internacionales de los últimos 5 años.</w:t>
      </w:r>
    </w:p>
    <w:p>
      <w:pPr>
        <w:pStyle w:val="ListParagraph"/>
        <w:numPr>
          <w:ilvl w:val="0"/>
          <w:numId w:val="4"/>
        </w:numPr>
        <w:spacing w:before="0" w:after="120"/>
        <w:contextualSpacing/>
        <w:rPr>
          <w:rFonts w:ascii="Arial" w:hAnsi="Arial" w:cs="Arial"/>
        </w:rPr>
      </w:pPr>
      <w:r>
        <w:rPr>
          <w:rFonts w:cs="Arial" w:ascii="Arial" w:hAnsi="Arial"/>
        </w:rPr>
        <w:t>Correlative study of the luminescence properties of gallium oxide nanomembranes</w:t>
      </w:r>
    </w:p>
    <w:p>
      <w:pPr>
        <w:pStyle w:val="ListParagraph"/>
        <w:spacing w:before="0" w:after="120"/>
        <w:contextualSpacing/>
        <w:rPr>
          <w:rFonts w:ascii="Arial" w:hAnsi="Arial" w:cs="Arial"/>
        </w:rPr>
      </w:pPr>
      <w:r>
        <w:rPr>
          <w:rFonts w:cs="Arial" w:ascii="Arial" w:hAnsi="Arial"/>
        </w:rPr>
        <w:t>MRS Fall Meeting 2024 (Boston, EEUU, 2024)</w:t>
      </w:r>
    </w:p>
    <w:p>
      <w:pPr>
        <w:pStyle w:val="ListParagraph"/>
        <w:spacing w:before="0" w:after="120"/>
        <w:contextualSpacing/>
        <w:rPr>
          <w:rFonts w:ascii="Arial" w:hAnsi="Arial" w:cs="Arial"/>
        </w:rPr>
      </w:pPr>
      <w:r>
        <w:rPr>
          <w:rFonts w:cs="Arial" w:ascii="Arial" w:hAnsi="Arial"/>
        </w:rPr>
        <w:t>B. Méndez, P. Pérez-Peinado, D. Carrasco, P. Alcázar, J. Dolado, R. Martínez-Casado, G. Martínez-Criado, J. Jesenovec, J. S. McCloy</w:t>
      </w:r>
      <w:r>
        <w:rPr>
          <w:rFonts w:cs="Arial" w:ascii="Arial" w:hAnsi="Arial"/>
          <w:b/>
          <w:bCs/>
        </w:rPr>
        <w:t>, F. Domínguez-Adame</w:t>
      </w:r>
      <w:r>
        <w:rPr>
          <w:rFonts w:cs="Arial" w:ascii="Arial" w:hAnsi="Arial"/>
        </w:rPr>
        <w:t>, J. Quereda y E. Nogales</w:t>
      </w:r>
    </w:p>
    <w:p>
      <w:pPr>
        <w:pStyle w:val="ListParagraph"/>
        <w:numPr>
          <w:ilvl w:val="0"/>
          <w:numId w:val="4"/>
        </w:numPr>
        <w:spacing w:before="0" w:after="120"/>
        <w:contextualSpacing/>
        <w:rPr>
          <w:rFonts w:ascii="Arial" w:hAnsi="Arial" w:cs="Arial"/>
        </w:rPr>
      </w:pPr>
      <w:r>
        <w:rPr>
          <w:rFonts w:cs="Arial" w:ascii="Arial" w:hAnsi="Arial"/>
        </w:rPr>
        <w:t>Effect of the external fields in high Chern number quantum anomalous Hall insulators</w:t>
      </w:r>
    </w:p>
    <w:p>
      <w:pPr>
        <w:pStyle w:val="ListParagraph"/>
        <w:spacing w:before="0" w:after="120"/>
        <w:contextualSpacing/>
        <w:rPr>
          <w:rFonts w:ascii="Arial" w:hAnsi="Arial" w:cs="Arial"/>
        </w:rPr>
      </w:pPr>
      <w:r>
        <w:rPr>
          <w:rFonts w:cs="Arial" w:ascii="Arial" w:hAnsi="Arial"/>
        </w:rPr>
        <w:t>APS March Meeting 2022 (Chicago, EEUU, 2022)</w:t>
      </w:r>
    </w:p>
    <w:p>
      <w:pPr>
        <w:pStyle w:val="ListParagraph"/>
        <w:spacing w:before="0" w:after="120"/>
        <w:contextualSpacing/>
        <w:rPr>
          <w:rFonts w:ascii="Arial" w:hAnsi="Arial" w:cs="Arial"/>
        </w:rPr>
      </w:pPr>
      <w:r>
        <w:rPr>
          <w:rFonts w:cs="Arial" w:ascii="Arial" w:hAnsi="Arial"/>
        </w:rPr>
        <w:t xml:space="preserve">Y. Baba, M. Amado, E. Diez, R. Molina y </w:t>
      </w:r>
      <w:r>
        <w:rPr>
          <w:rFonts w:cs="Arial" w:ascii="Arial" w:hAnsi="Arial"/>
          <w:b/>
          <w:bCs/>
        </w:rPr>
        <w:t>F. Domínguez-Adame</w:t>
      </w:r>
    </w:p>
    <w:p>
      <w:pPr>
        <w:pStyle w:val="ListParagraph"/>
        <w:numPr>
          <w:ilvl w:val="0"/>
          <w:numId w:val="4"/>
        </w:numPr>
        <w:spacing w:before="0" w:after="120"/>
        <w:contextualSpacing/>
        <w:rPr>
          <w:rFonts w:ascii="Arial" w:hAnsi="Arial" w:cs="Arial"/>
        </w:rPr>
      </w:pPr>
      <w:r>
        <w:rPr>
          <w:rFonts w:cs="Arial" w:ascii="Arial" w:hAnsi="Arial"/>
        </w:rPr>
        <w:t>Effect of the electric field in high Chern number quantum anomalous Hall insulators</w:t>
      </w:r>
    </w:p>
    <w:p>
      <w:pPr>
        <w:pStyle w:val="ListParagraph"/>
        <w:spacing w:before="0" w:after="120"/>
        <w:contextualSpacing/>
        <w:rPr>
          <w:rFonts w:ascii="Arial" w:hAnsi="Arial" w:cs="Arial"/>
        </w:rPr>
      </w:pPr>
      <w:r>
        <w:rPr>
          <w:rFonts w:cs="Arial" w:ascii="Arial" w:hAnsi="Arial"/>
        </w:rPr>
        <w:t>16th International Conference on Nanostructured Materials, NANO 2022 (Sevilla, 2022)</w:t>
      </w:r>
    </w:p>
    <w:p>
      <w:pPr>
        <w:pStyle w:val="ListParagraph"/>
        <w:spacing w:before="0" w:after="120"/>
        <w:contextualSpacing/>
        <w:rPr>
          <w:rFonts w:ascii="Arial" w:hAnsi="Arial" w:cs="Arial"/>
        </w:rPr>
      </w:pPr>
      <w:r>
        <w:rPr>
          <w:rFonts w:cs="Arial" w:ascii="Arial" w:hAnsi="Arial"/>
        </w:rPr>
        <w:t xml:space="preserve">Y. Baba, R. Molina y </w:t>
      </w:r>
      <w:r>
        <w:rPr>
          <w:rFonts w:cs="Arial" w:ascii="Arial" w:hAnsi="Arial"/>
          <w:b/>
          <w:bCs/>
        </w:rPr>
        <w:t>F. Domínguez-Adame</w:t>
      </w:r>
    </w:p>
    <w:p>
      <w:pPr>
        <w:pStyle w:val="ListParagraph"/>
        <w:numPr>
          <w:ilvl w:val="0"/>
          <w:numId w:val="4"/>
        </w:numPr>
        <w:spacing w:before="0" w:after="120"/>
        <w:contextualSpacing/>
        <w:rPr>
          <w:rFonts w:ascii="Arial" w:hAnsi="Arial" w:cs="Arial"/>
        </w:rPr>
      </w:pPr>
      <w:r>
        <w:rPr>
          <w:rFonts w:cs="Arial" w:ascii="Arial" w:hAnsi="Arial"/>
        </w:rPr>
        <w:t>Impact of the electric field in high Chern number Quantum Anomalous Hall states</w:t>
      </w:r>
    </w:p>
    <w:p>
      <w:pPr>
        <w:pStyle w:val="ListParagraph"/>
        <w:spacing w:before="0" w:after="120"/>
        <w:contextualSpacing/>
        <w:rPr>
          <w:rFonts w:ascii="Arial" w:hAnsi="Arial" w:cs="Arial"/>
        </w:rPr>
      </w:pPr>
      <w:r>
        <w:rPr>
          <w:rFonts w:cs="Arial" w:ascii="Arial" w:hAnsi="Arial"/>
        </w:rPr>
        <w:t>Quantum Matter International Conference - QUANTUMatter 2022 (Barcelona, 2022)</w:t>
      </w:r>
    </w:p>
    <w:p>
      <w:pPr>
        <w:pStyle w:val="ListParagraph"/>
        <w:spacing w:before="0" w:after="120"/>
        <w:contextualSpacing/>
        <w:rPr>
          <w:rFonts w:ascii="Arial" w:hAnsi="Arial" w:cs="Arial"/>
        </w:rPr>
      </w:pPr>
      <w:r>
        <w:rPr>
          <w:rFonts w:cs="Arial" w:ascii="Arial" w:hAnsi="Arial"/>
        </w:rPr>
        <w:t xml:space="preserve">Y. Baba, M. Amado, E. Diez, </w:t>
      </w:r>
      <w:r>
        <w:rPr>
          <w:rFonts w:cs="Arial" w:ascii="Arial" w:hAnsi="Arial"/>
          <w:b/>
          <w:bCs/>
        </w:rPr>
        <w:t>F. Domínguez-Adame</w:t>
      </w:r>
      <w:r>
        <w:rPr>
          <w:rFonts w:cs="Arial" w:ascii="Arial" w:hAnsi="Arial"/>
        </w:rPr>
        <w:t xml:space="preserve"> y R. Molina</w:t>
      </w:r>
    </w:p>
    <w:p>
      <w:pPr>
        <w:pStyle w:val="ListParagraph"/>
        <w:numPr>
          <w:ilvl w:val="0"/>
          <w:numId w:val="4"/>
        </w:numPr>
        <w:spacing w:before="0" w:after="120"/>
        <w:contextualSpacing/>
        <w:rPr>
          <w:rFonts w:ascii="Arial" w:hAnsi="Arial" w:cs="Arial"/>
        </w:rPr>
      </w:pPr>
      <w:r>
        <w:rPr>
          <w:rFonts w:cs="Arial" w:ascii="Arial" w:hAnsi="Arial"/>
        </w:rPr>
        <w:t>Persistence of symmetry-protected Dirac points at the surface of the topological crystalline insulator SnTe upon impurity doping</w:t>
      </w:r>
    </w:p>
    <w:p>
      <w:pPr>
        <w:pStyle w:val="ListParagraph"/>
        <w:spacing w:before="0" w:after="120"/>
        <w:contextualSpacing/>
        <w:rPr>
          <w:rFonts w:ascii="Arial" w:hAnsi="Arial" w:cs="Arial"/>
        </w:rPr>
      </w:pPr>
      <w:r>
        <w:rPr>
          <w:rFonts w:cs="Arial" w:ascii="Arial" w:hAnsi="Arial"/>
        </w:rPr>
        <w:t>Quantum Matter International Conference - QUANTUMatter 2022 (Barcelona, 2022)</w:t>
      </w:r>
    </w:p>
    <w:p>
      <w:pPr>
        <w:pStyle w:val="ListParagraph"/>
        <w:spacing w:before="0" w:after="120"/>
        <w:contextualSpacing/>
        <w:rPr>
          <w:rFonts w:ascii="Arial" w:hAnsi="Arial" w:cs="Arial"/>
        </w:rPr>
      </w:pPr>
      <w:r>
        <w:rPr>
          <w:rFonts w:cs="Arial" w:ascii="Arial" w:hAnsi="Arial"/>
        </w:rPr>
        <w:t xml:space="preserve">O. Arroyo-Gascón,Y. Baba, J. I. Cerdá, O. de Abril, R. Martínez, </w:t>
      </w:r>
      <w:r>
        <w:rPr>
          <w:rFonts w:cs="Arial" w:ascii="Arial" w:hAnsi="Arial"/>
          <w:b/>
          <w:bCs/>
        </w:rPr>
        <w:t>F. Domínguez-Adame</w:t>
      </w:r>
      <w:r>
        <w:rPr>
          <w:rFonts w:cs="Arial" w:ascii="Arial" w:hAnsi="Arial"/>
        </w:rPr>
        <w:t xml:space="preserve"> y L. Chico</w:t>
      </w:r>
    </w:p>
    <w:p>
      <w:pPr>
        <w:pStyle w:val="ListParagraph"/>
        <w:numPr>
          <w:ilvl w:val="0"/>
          <w:numId w:val="4"/>
        </w:numPr>
        <w:spacing w:before="0" w:after="120"/>
        <w:contextualSpacing/>
        <w:rPr>
          <w:rFonts w:ascii="Arial" w:hAnsi="Arial" w:cs="Arial"/>
        </w:rPr>
      </w:pPr>
      <w:r>
        <w:rPr>
          <w:rFonts w:cs="Arial" w:ascii="Arial" w:hAnsi="Arial"/>
        </w:rPr>
        <w:t>Chern number control in quantum anomalous Hall insulators by external fields</w:t>
      </w:r>
    </w:p>
    <w:p>
      <w:pPr>
        <w:pStyle w:val="ListParagraph"/>
        <w:spacing w:before="0" w:after="120"/>
        <w:contextualSpacing/>
        <w:rPr>
          <w:rFonts w:ascii="Arial" w:hAnsi="Arial" w:cs="Arial"/>
        </w:rPr>
      </w:pPr>
      <w:r>
        <w:rPr>
          <w:rFonts w:cs="Arial" w:ascii="Arial" w:hAnsi="Arial"/>
        </w:rPr>
        <w:t>DPG-Frühjahrstagung (Regensburg, Alemania, 2022)</w:t>
      </w:r>
    </w:p>
    <w:p>
      <w:pPr>
        <w:pStyle w:val="ListParagraph"/>
        <w:spacing w:before="0" w:after="120"/>
        <w:contextualSpacing/>
        <w:rPr>
          <w:rFonts w:ascii="Arial" w:hAnsi="Arial" w:cs="Arial"/>
        </w:rPr>
      </w:pPr>
      <w:r>
        <w:rPr>
          <w:rFonts w:cs="Arial" w:ascii="Arial" w:hAnsi="Arial"/>
        </w:rPr>
        <w:t xml:space="preserve">Y. Baba, </w:t>
      </w:r>
      <w:r>
        <w:rPr>
          <w:rFonts w:cs="Arial" w:ascii="Arial" w:hAnsi="Arial"/>
          <w:b/>
          <w:bCs/>
        </w:rPr>
        <w:t>F. Domínguez-Adame</w:t>
      </w:r>
      <w:r>
        <w:rPr>
          <w:rFonts w:cs="Arial" w:ascii="Arial" w:hAnsi="Arial"/>
        </w:rPr>
        <w:t xml:space="preserve"> y R. Molina</w:t>
      </w:r>
    </w:p>
    <w:p>
      <w:pPr>
        <w:pStyle w:val="ListParagraph"/>
        <w:numPr>
          <w:ilvl w:val="0"/>
          <w:numId w:val="4"/>
        </w:numPr>
        <w:spacing w:before="0" w:after="120"/>
        <w:contextualSpacing/>
        <w:rPr>
          <w:rFonts w:ascii="Arial" w:hAnsi="Arial" w:cs="Arial"/>
        </w:rPr>
      </w:pPr>
      <w:r>
        <w:rPr>
          <w:rFonts w:cs="Arial" w:ascii="Arial" w:hAnsi="Arial"/>
        </w:rPr>
        <w:t xml:space="preserve">Charge and energy transport in graphene nanostructures. </w:t>
      </w:r>
    </w:p>
    <w:p>
      <w:pPr>
        <w:pStyle w:val="ListParagraph"/>
        <w:spacing w:before="0" w:after="120"/>
        <w:contextualSpacing/>
        <w:rPr>
          <w:rFonts w:ascii="Arial" w:hAnsi="Arial" w:cs="Arial"/>
        </w:rPr>
      </w:pPr>
      <w:r>
        <w:rPr>
          <w:rFonts w:cs="Arial" w:ascii="Arial" w:hAnsi="Arial"/>
        </w:rPr>
        <w:t xml:space="preserve">Workshop IEEE Nano Peru 2021 (invitada en línea, 2021). </w:t>
      </w:r>
      <w:r>
        <w:rPr>
          <w:rFonts w:cs="Arial" w:ascii="Arial" w:hAnsi="Arial"/>
          <w:b/>
          <w:bCs/>
        </w:rPr>
        <w:t>F. Domínguez-Adame</w:t>
      </w:r>
    </w:p>
    <w:p>
      <w:pPr>
        <w:pStyle w:val="ListParagraph"/>
        <w:numPr>
          <w:ilvl w:val="0"/>
          <w:numId w:val="4"/>
        </w:numPr>
        <w:spacing w:before="0" w:after="120"/>
        <w:contextualSpacing/>
        <w:rPr>
          <w:rFonts w:ascii="Arial" w:hAnsi="Arial" w:cs="Arial"/>
        </w:rPr>
      </w:pPr>
      <w:r>
        <w:rPr>
          <w:rFonts w:cs="Arial" w:ascii="Arial" w:hAnsi="Arial"/>
        </w:rPr>
        <w:t xml:space="preserve">Tuning the thermoelectric response of silicene nanoribbons with vacancies.International Conference on the Physics of Semiconductors 2020 (Sidney, Australia, 2020). L. Rosales, C. Núñez, P. Orellana, M. Saiz-Bretin y </w:t>
      </w:r>
      <w:r>
        <w:rPr>
          <w:rFonts w:cs="Arial" w:ascii="Arial" w:hAnsi="Arial"/>
          <w:b/>
          <w:bCs/>
        </w:rPr>
        <w:t>F. Domínguez-Adame</w:t>
      </w:r>
    </w:p>
    <w:p>
      <w:pPr>
        <w:pStyle w:val="Normal"/>
        <w:spacing w:before="0" w:after="120"/>
        <w:rPr>
          <w:rFonts w:ascii="Arial" w:hAnsi="Arial" w:eastAsia="Times New Roman" w:cs="Arial"/>
          <w:b/>
          <w:lang w:val="es-ES_tradnl" w:eastAsia="es-ES"/>
        </w:rPr>
      </w:pPr>
      <w:r>
        <w:rPr>
          <w:rFonts w:cs="Arial" w:ascii="Arial" w:hAnsi="Arial"/>
          <w:b/>
        </w:rPr>
        <w:t xml:space="preserve">C.3. </w:t>
      </w:r>
      <w:r>
        <w:rPr>
          <w:rFonts w:eastAsia="Times New Roman" w:cs="Arial" w:ascii="Arial" w:hAnsi="Arial"/>
          <w:b/>
          <w:lang w:val="es-ES_tradnl" w:eastAsia="es-ES"/>
        </w:rPr>
        <w:t>Proyectos o líneas de investigación en los que ha participado</w:t>
      </w:r>
    </w:p>
    <w:p>
      <w:pPr>
        <w:pStyle w:val="Normal"/>
        <w:spacing w:before="0" w:after="120"/>
        <w:rPr>
          <w:rFonts w:ascii="Arial" w:hAnsi="Arial" w:eastAsia="Times New Roman" w:cs="Arial"/>
          <w:lang w:val="es-ES_tradnl" w:eastAsia="es-ES"/>
        </w:rPr>
      </w:pPr>
      <w:r>
        <w:rPr>
          <w:rFonts w:eastAsia="Times New Roman" w:cs="Arial" w:ascii="Arial" w:hAnsi="Arial"/>
          <w:lang w:val="es-ES_tradnl" w:eastAsia="es-ES"/>
        </w:rPr>
        <w:t>Proyectos financiados de los últimos cinco años en los que figura como IP.</w:t>
      </w:r>
    </w:p>
    <w:p>
      <w:pPr>
        <w:pStyle w:val="ListParagraph"/>
        <w:numPr>
          <w:ilvl w:val="0"/>
          <w:numId w:val="2"/>
        </w:numPr>
        <w:spacing w:before="0" w:after="120"/>
        <w:contextualSpacing/>
        <w:jc w:val="both"/>
        <w:rPr>
          <w:rFonts w:ascii="Arial" w:hAnsi="Arial" w:eastAsia="Times New Roman" w:cs="Arial"/>
          <w:iCs/>
          <w:color w:val="000000"/>
          <w:lang w:val="es-ES_tradnl" w:eastAsia="es-ES"/>
        </w:rPr>
      </w:pPr>
      <w:r>
        <w:rPr>
          <w:rFonts w:eastAsia="Times New Roman" w:cs="Arial" w:ascii="Arial" w:hAnsi="Arial"/>
          <w:iCs/>
          <w:color w:val="000000"/>
          <w:lang w:val="es-ES_tradnl" w:eastAsia="es-ES"/>
        </w:rPr>
        <w:t>Fenómenos cuánticos emergentes en nanomateriales rotados y con ingeniería de simetrías. (MICIN, Ref: PID2022-136285NB-C31). 2023 – 2026. IPs: F. Domínguez-Adame y L. Chico. 150.000€.</w:t>
      </w:r>
    </w:p>
    <w:p>
      <w:pPr>
        <w:pStyle w:val="ListParagraph"/>
        <w:numPr>
          <w:ilvl w:val="0"/>
          <w:numId w:val="2"/>
        </w:numPr>
        <w:spacing w:before="0" w:after="120"/>
        <w:contextualSpacing/>
        <w:jc w:val="both"/>
        <w:rPr>
          <w:rFonts w:ascii="Arial" w:hAnsi="Arial" w:eastAsia="Times New Roman" w:cs="Arial"/>
          <w:iCs/>
          <w:color w:val="000000"/>
          <w:lang w:val="es-ES_tradnl" w:eastAsia="es-ES"/>
        </w:rPr>
      </w:pPr>
      <w:r>
        <w:rPr>
          <w:rFonts w:eastAsia="Times New Roman" w:cs="Arial" w:ascii="Arial" w:hAnsi="Arial"/>
          <w:iCs/>
          <w:color w:val="000000"/>
          <w:lang w:val="es-ES_tradnl" w:eastAsia="es-ES"/>
        </w:rPr>
        <w:t>Bulk photovoltaic effects in 2D semiconductors (Universidad Complutense de Madrid y European Research Council. IP: F. Domínguez-Adame (UNA4CAREER de J. Quereda). 173.628€.</w:t>
      </w:r>
    </w:p>
    <w:p>
      <w:pPr>
        <w:pStyle w:val="ListParagraph"/>
        <w:numPr>
          <w:ilvl w:val="0"/>
          <w:numId w:val="2"/>
        </w:numPr>
        <w:spacing w:before="0" w:after="120"/>
        <w:contextualSpacing/>
        <w:jc w:val="both"/>
        <w:rPr>
          <w:rFonts w:ascii="Arial" w:hAnsi="Arial" w:eastAsia="Times New Roman" w:cs="Arial"/>
          <w:i/>
          <w:i/>
          <w:color w:val="000000"/>
          <w:lang w:val="es-ES_tradnl" w:eastAsia="es-ES"/>
        </w:rPr>
      </w:pPr>
      <w:r>
        <w:rPr>
          <w:rFonts w:eastAsia="Times New Roman" w:cs="Arial" w:ascii="Arial" w:hAnsi="Arial"/>
          <w:lang w:val="es-ES_tradnl" w:eastAsia="es-ES"/>
        </w:rPr>
        <w:t>Materiales disruptivos bidimensionales. Plan de Recuperación, Transformación y Resiliencia, financiado por la Unión Europea - NextGenerationEU. 2022 – 2025. IP: Francisco Domínguez-Adame. 360.000€.</w:t>
      </w:r>
    </w:p>
    <w:p>
      <w:pPr>
        <w:pStyle w:val="ListParagraph"/>
        <w:numPr>
          <w:ilvl w:val="0"/>
          <w:numId w:val="2"/>
        </w:numPr>
        <w:spacing w:lineRule="auto" w:line="240" w:before="0" w:after="0"/>
        <w:contextualSpacing/>
        <w:jc w:val="both"/>
        <w:rPr>
          <w:rFonts w:ascii="Arial" w:hAnsi="Arial" w:cs="Arial"/>
        </w:rPr>
      </w:pPr>
      <w:r>
        <w:rPr>
          <w:rFonts w:eastAsia="Times New Roman" w:cs="Arial" w:ascii="Arial" w:hAnsi="Arial"/>
          <w:lang w:val="es-ES_tradnl" w:eastAsia="es-ES"/>
        </w:rPr>
        <w:t>Degeneración sintonizable de espín y de valle en nanosistemas con rotura de simetría (MICIN, Ref: PID2019-106820RB-C21). 2020 – 2023. IPs: Francisco Domínguez-Adame y Elena Díaz. 50.030€.</w:t>
      </w:r>
    </w:p>
    <w:p>
      <w:pPr>
        <w:pStyle w:val="Normal"/>
        <w:spacing w:lineRule="auto" w:line="240" w:before="0" w:after="0"/>
        <w:ind w:left="360"/>
        <w:jc w:val="both"/>
        <w:rPr>
          <w:rFonts w:ascii="Arial" w:hAnsi="Arial" w:cs="Arial"/>
        </w:rPr>
      </w:pPr>
      <w:r>
        <w:rPr>
          <w:rFonts w:cs="Arial" w:ascii="Arial" w:hAnsi="Arial"/>
        </w:rPr>
      </w:r>
    </w:p>
    <w:p>
      <w:pPr>
        <w:pStyle w:val="Normal"/>
        <w:spacing w:before="0" w:after="120"/>
        <w:rPr>
          <w:rFonts w:ascii="Arial" w:hAnsi="Arial" w:eastAsia="Times New Roman" w:cs="Arial"/>
          <w:lang w:val="es-ES_tradnl" w:eastAsia="es-ES"/>
        </w:rPr>
      </w:pPr>
      <w:r>
        <w:rPr>
          <w:rFonts w:eastAsia="Times New Roman" w:cs="Arial" w:ascii="Arial" w:hAnsi="Arial"/>
          <w:lang w:val="es-ES_tradnl" w:eastAsia="es-ES"/>
        </w:rPr>
        <w:t>Proyectos financiados de los últimos cinco años en los que figura como miembro del equipo.</w:t>
      </w:r>
    </w:p>
    <w:p>
      <w:pPr>
        <w:pStyle w:val="ListParagraph"/>
        <w:numPr>
          <w:ilvl w:val="0"/>
          <w:numId w:val="5"/>
        </w:numPr>
        <w:spacing w:before="0" w:after="120"/>
        <w:contextualSpacing/>
        <w:rPr>
          <w:rFonts w:ascii="Arial" w:hAnsi="Arial" w:eastAsia="Times New Roman" w:cs="Arial"/>
          <w:lang w:val="es-ES_tradnl" w:eastAsia="es-ES"/>
        </w:rPr>
      </w:pPr>
      <w:r>
        <w:rPr>
          <w:rFonts w:eastAsia="Times New Roman" w:cs="Arial" w:ascii="Arial" w:hAnsi="Arial"/>
          <w:i/>
          <w:iCs/>
          <w:lang w:val="es-ES_tradnl" w:eastAsia="es-ES"/>
        </w:rPr>
        <w:t>p</w:t>
      </w:r>
      <w:r>
        <w:rPr>
          <w:rFonts w:eastAsia="Times New Roman" w:cs="Arial" w:ascii="Arial" w:hAnsi="Arial"/>
          <w:lang w:val="es-ES_tradnl" w:eastAsia="es-ES"/>
        </w:rPr>
        <w:t>-</w:t>
      </w:r>
      <w:r>
        <w:rPr>
          <w:rFonts w:eastAsia="Times New Roman" w:cs="Arial" w:ascii="Arial" w:hAnsi="Arial"/>
          <w:i/>
          <w:iCs/>
          <w:lang w:val="es-ES_tradnl" w:eastAsia="es-ES"/>
        </w:rPr>
        <w:t>n</w:t>
      </w:r>
      <w:r>
        <w:rPr>
          <w:rFonts w:eastAsia="Times New Roman" w:cs="Arial" w:ascii="Arial" w:hAnsi="Arial"/>
          <w:lang w:val="es-ES_tradnl" w:eastAsia="es-ES"/>
        </w:rPr>
        <w:t xml:space="preserve"> heterjunctions of emergent wide gap oxides for self-powered UVC sensing</w:t>
      </w:r>
    </w:p>
    <w:p>
      <w:pPr>
        <w:pStyle w:val="ListParagraph"/>
        <w:spacing w:before="0" w:after="120"/>
        <w:contextualSpacing/>
        <w:rPr>
          <w:rFonts w:ascii="Arial" w:hAnsi="Arial" w:eastAsia="Times New Roman" w:cs="Arial"/>
          <w:lang w:val="es-ES_tradnl" w:eastAsia="es-ES"/>
        </w:rPr>
      </w:pPr>
      <w:r>
        <w:rPr>
          <w:rFonts w:eastAsia="Times New Roman" w:cs="Arial" w:ascii="Arial" w:hAnsi="Arial"/>
          <w:lang w:val="es-ES_tradnl" w:eastAsia="es-ES"/>
        </w:rPr>
        <w:t>(MICIN y Unión Europea, Ref. PCI2023-143388, M-ERA.NET). 2023 - 2026. IP: B. Méndez.</w:t>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418" w:right="1418" w:gutter="0" w:header="170" w:top="851" w:footer="197" w:bottom="851"/>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swiss"/>
    <w:pitch w:val="variable"/>
  </w:font>
  <w:font w:name="Tahoma">
    <w:charset w:val="01"/>
    <w:family w:val="swiss"/>
    <w:pitch w:val="variable"/>
  </w:font>
  <w:font w:name="Liberation Sans">
    <w:altName w:val="Arial"/>
    <w:charset w:val="01"/>
    <w:family w:val="swiss"/>
    <w:pitch w:val="variable"/>
  </w:font>
  <w:font w:name="Arial Narrow">
    <w:charset w:val="01"/>
    <w:family w:val="swiss"/>
    <w:pitch w:val="variable"/>
  </w:font>
  <w:font w:name="Arial">
    <w:charset w:val="01"/>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4</w:t>
    </w:r>
    <w:r>
      <w:rPr>
        <w:rFonts w:cs="Arial" w:ascii="Arial" w:hAnsi="Arial"/>
      </w:rPr>
      <w:fldChar w:fldCharType="end"/>
    </w:r>
  </w:p>
  <w:p>
    <w:pPr>
      <w:pStyle w:val="Footer"/>
      <w:jc w:val="center"/>
      <w:rPr>
        <w:rFonts w:ascii="Arial" w:hAnsi="Arial" w:cs="Arial"/>
        <w:sz w:val="20"/>
        <w:szCs w:val="20"/>
      </w:rPr>
    </w:pPr>
    <w:r>
      <w:rPr>
        <w:rFonts w:cs="Arial" w:ascii="Arial" w:hAnsi="Arial"/>
        <w:sz w:val="20"/>
        <w:szCs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504"/>
        <w:tab w:val="center" w:pos="4252" w:leader="none"/>
        <w:tab w:val="right" w:pos="9070" w:leader="none"/>
      </w:tabs>
      <w:ind w:left="-993"/>
      <w:jc w:val="right"/>
      <w:rPr/>
    </w:pPr>
    <w:r>
      <w:rPr/>
      <w:tab/>
      <w:tab/>
    </w:r>
    <w:r>
      <w:rPr/>
      <w:drawing>
        <wp:inline distT="0" distB="0" distL="0" distR="0">
          <wp:extent cx="306070" cy="568960"/>
          <wp:effectExtent l="0" t="0" r="0" b="0"/>
          <wp:docPr id="2" name="Imagen 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6" descr=""/>
                  <pic:cNvPicPr>
                    <a:picLocks noChangeAspect="1" noChangeArrowheads="1"/>
                  </pic:cNvPicPr>
                </pic:nvPicPr>
                <pic:blipFill>
                  <a:blip r:embed="rId1"/>
                  <a:stretch>
                    <a:fillRect/>
                  </a:stretch>
                </pic:blipFill>
                <pic:spPr bwMode="auto">
                  <a:xfrm>
                    <a:off x="0" y="0"/>
                    <a:ext cx="306070" cy="56896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504"/>
        <w:tab w:val="center" w:pos="4252" w:leader="none"/>
        <w:tab w:val="right" w:pos="9070" w:leader="none"/>
      </w:tabs>
      <w:ind w:left="-284"/>
      <w:rPr/>
    </w:pPr>
    <w:r>
      <w:rPr/>
      <w:drawing>
        <wp:inline distT="0" distB="0" distL="0" distR="0">
          <wp:extent cx="1074420" cy="478790"/>
          <wp:effectExtent l="0" t="0" r="0" b="0"/>
          <wp:docPr id="3" name="0 Imagen"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 Imagen" descr=""/>
                  <pic:cNvPicPr>
                    <a:picLocks noChangeAspect="1" noChangeArrowheads="1"/>
                  </pic:cNvPicPr>
                </pic:nvPicPr>
                <pic:blipFill>
                  <a:blip r:embed="rId1"/>
                  <a:stretch>
                    <a:fillRect/>
                  </a:stretch>
                </pic:blipFill>
                <pic:spPr bwMode="auto">
                  <a:xfrm>
                    <a:off x="0" y="0"/>
                    <a:ext cx="1074420" cy="478790"/>
                  </a:xfrm>
                  <a:prstGeom prst="rect">
                    <a:avLst/>
                  </a:prstGeom>
                  <a:noFill/>
                </pic:spPr>
              </pic:pic>
            </a:graphicData>
          </a:graphic>
        </wp:inline>
      </w:drawing>
    </w:r>
    <w:r>
      <mc:AlternateContent>
        <mc:Choice Requires="wps">
          <w:drawing>
            <wp:anchor behindDoc="1" distT="5715" distB="4445" distL="5080" distR="5080" simplePos="0" locked="0" layoutInCell="1" allowOverlap="1" relativeHeight="6" wp14:anchorId="6E0A87A9">
              <wp:simplePos x="0" y="0"/>
              <wp:positionH relativeFrom="column">
                <wp:posOffset>1012190</wp:posOffset>
              </wp:positionH>
              <wp:positionV relativeFrom="paragraph">
                <wp:posOffset>105410</wp:posOffset>
              </wp:positionV>
              <wp:extent cx="4164330" cy="295275"/>
              <wp:effectExtent l="5080" t="5715" r="5080" b="4445"/>
              <wp:wrapNone/>
              <wp:docPr id="4" name="Cuadro de texto 2"/>
              <a:graphic xmlns:a="http://schemas.openxmlformats.org/drawingml/2006/main">
                <a:graphicData uri="http://schemas.microsoft.com/office/word/2010/wordprocessingShape">
                  <wps:wsp>
                    <wps:cNvSpPr/>
                    <wps:spPr>
                      <a:xfrm>
                        <a:off x="0" y="0"/>
                        <a:ext cx="4164480" cy="295200"/>
                      </a:xfrm>
                      <a:prstGeom prst="rect">
                        <a:avLst/>
                      </a:prstGeom>
                      <a:solidFill>
                        <a:srgbClr val="ffff00"/>
                      </a:solidFill>
                      <a:ln w="9525">
                        <a:solidFill>
                          <a:srgbClr val="000000"/>
                        </a:solidFill>
                        <a:miter/>
                      </a:ln>
                    </wps:spPr>
                    <wps:style>
                      <a:lnRef idx="0"/>
                      <a:fillRef idx="0"/>
                      <a:effectRef idx="0"/>
                      <a:fontRef idx="minor"/>
                    </wps:style>
                    <wps:txbx>
                      <w:txbxContent>
                        <w:p>
                          <w:pPr>
                            <w:pStyle w:val="Contenidodelmarco"/>
                            <w:spacing w:lineRule="auto" w:line="240" w:before="0" w:after="0"/>
                            <w:jc w:val="center"/>
                            <w:rPr>
                              <w:rFonts w:ascii="Arial Narrow" w:hAnsi="Arial Narrow" w:cs="Arial"/>
                              <w:b/>
                            </w:rPr>
                          </w:pPr>
                          <w:r>
                            <w:rPr>
                              <w:rFonts w:cs="Arial"/>
                              <w:b/>
                              <w:i/>
                              <w:color w:val="000000"/>
                            </w:rPr>
                            <w:t xml:space="preserve">CURRICULUM VITAE </w:t>
                          </w:r>
                          <w:r>
                            <w:rPr>
                              <w:rFonts w:cs="Arial"/>
                              <w:b/>
                              <w:color w:val="000000"/>
                            </w:rPr>
                            <w:t>ABREVIADO</w:t>
                          </w:r>
                          <w:r>
                            <w:rPr>
                              <w:rFonts w:cs="Arial"/>
                              <w:b/>
                              <w:i/>
                              <w:color w:val="000000"/>
                            </w:rPr>
                            <w:t xml:space="preserve"> </w:t>
                          </w:r>
                          <w:r>
                            <w:rPr>
                              <w:rFonts w:cs="Arial"/>
                              <w:b/>
                              <w:color w:val="000000"/>
                            </w:rPr>
                            <w:t>(CVA)</w:t>
                          </w:r>
                        </w:p>
                      </w:txbxContent>
                    </wps:txbx>
                    <wps:bodyPr anchor="t">
                      <a:noAutofit/>
                    </wps:bodyPr>
                  </wps:wsp>
                </a:graphicData>
              </a:graphic>
            </wp:anchor>
          </w:drawing>
        </mc:Choice>
        <mc:Fallback>
          <w:pict>
            <v:rect id="shape_0" ID="Cuadro de texto 2" path="m0,0l-2147483645,0l-2147483645,-2147483646l0,-2147483646xe" fillcolor="yellow" stroked="t" o:allowincell="f" style="position:absolute;margin-left:79.7pt;margin-top:8.3pt;width:327.85pt;height:23.2pt;mso-wrap-style:square;v-text-anchor:top" wp14:anchorId="6E0A87A9">
              <v:fill o:detectmouseclick="t" type="solid" color2="blue"/>
              <v:stroke color="black" weight="9360" joinstyle="miter" endcap="flat"/>
              <v:textbox>
                <w:txbxContent>
                  <w:p>
                    <w:pPr>
                      <w:pStyle w:val="Contenidodelmarco"/>
                      <w:spacing w:lineRule="auto" w:line="240" w:before="0" w:after="0"/>
                      <w:jc w:val="center"/>
                      <w:rPr>
                        <w:rFonts w:ascii="Arial Narrow" w:hAnsi="Arial Narrow" w:cs="Arial"/>
                        <w:b/>
                      </w:rPr>
                    </w:pPr>
                    <w:r>
                      <w:rPr>
                        <w:rFonts w:cs="Arial"/>
                        <w:b/>
                        <w:i/>
                        <w:color w:val="000000"/>
                      </w:rPr>
                      <w:t xml:space="preserve">CURRICULUM VITAE </w:t>
                    </w:r>
                    <w:r>
                      <w:rPr>
                        <w:rFonts w:cs="Arial"/>
                        <w:b/>
                        <w:color w:val="000000"/>
                      </w:rPr>
                      <w:t>ABREVIADO</w:t>
                    </w:r>
                    <w:r>
                      <w:rPr>
                        <w:rFonts w:cs="Arial"/>
                        <w:b/>
                        <w:i/>
                        <w:color w:val="000000"/>
                      </w:rPr>
                      <w:t xml:space="preserve"> </w:t>
                    </w:r>
                    <w:r>
                      <w:rPr>
                        <w:rFonts w:cs="Arial"/>
                        <w:b/>
                        <w:color w:val="000000"/>
                      </w:rPr>
                      <w:t>(CVA)</w:t>
                    </w:r>
                  </w:p>
                </w:txbxContent>
              </v:textbox>
              <w10:wrap type="none"/>
            </v:rect>
          </w:pict>
        </mc:Fallback>
      </mc:AlternateContent>
      <w:drawing>
        <wp:anchor behindDoc="0" distT="0" distB="0" distL="114300" distR="114300" simplePos="0" locked="0" layoutInCell="0" allowOverlap="1" relativeHeight="8">
          <wp:simplePos x="0" y="0"/>
          <wp:positionH relativeFrom="column">
            <wp:posOffset>5584190</wp:posOffset>
          </wp:positionH>
          <wp:positionV relativeFrom="paragraph">
            <wp:posOffset>6350</wp:posOffset>
          </wp:positionV>
          <wp:extent cx="359410" cy="496570"/>
          <wp:effectExtent l="0" t="0" r="0" b="0"/>
          <wp:wrapTight wrapText="bothSides">
            <wp:wrapPolygon edited="0">
              <wp:start x="-107" y="0"/>
              <wp:lineTo x="-107" y="20635"/>
              <wp:lineTo x="20517" y="20635"/>
              <wp:lineTo x="20517" y="0"/>
              <wp:lineTo x="-107" y="0"/>
            </wp:wrapPolygon>
          </wp:wrapTight>
          <wp:docPr id="5" name="Imagen 48" descr="C:\Users\nahia.aragon\AppData\Local\Microsoft\Windows\Temporary Internet Files\Content.Outlook\GFPFQIJJ\Logo_AEI_sin_fon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8" descr="C:\Users\nahia.aragon\AppData\Local\Microsoft\Windows\Temporary Internet Files\Content.Outlook\GFPFQIJJ\Logo_AEI_sin_fondo.jpg"/>
                  <pic:cNvPicPr>
                    <a:picLocks noChangeAspect="1" noChangeArrowheads="1"/>
                  </pic:cNvPicPr>
                </pic:nvPicPr>
                <pic:blipFill>
                  <a:blip r:embed="rId2"/>
                  <a:stretch>
                    <a:fillRect/>
                  </a:stretch>
                </pic:blipFill>
                <pic:spPr bwMode="auto">
                  <a:xfrm>
                    <a:off x="0" y="0"/>
                    <a:ext cx="359410" cy="496570"/>
                  </a:xfrm>
                  <a:prstGeom prst="rect">
                    <a:avLst/>
                  </a:prstGeom>
                  <a:noFill/>
                </pic:spPr>
              </pic:pic>
            </a:graphicData>
          </a:graphic>
        </wp:anchor>
      </w:drawing>
    </w:r>
    <w:r>
      <w:rPr/>
      <w:tab/>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3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s-ES" w:eastAsia="es-E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Times New Roman"/>
      <w:color w:val="auto"/>
      <w:kern w:val="0"/>
      <w:sz w:val="22"/>
      <w:szCs w:val="22"/>
      <w:lang w:val="es-ES" w:eastAsia="en-US" w:bidi="ar-SA"/>
    </w:rPr>
  </w:style>
  <w:style w:type="character" w:styleId="DefaultParagraphFont" w:default="1">
    <w:name w:val="Default Paragraph Font"/>
    <w:uiPriority w:val="1"/>
    <w:unhideWhenUsed/>
    <w:qFormat/>
    <w:rPr/>
  </w:style>
  <w:style w:type="character" w:styleId="EncabezadoCar" w:customStyle="1">
    <w:name w:val="Encabezado Car"/>
    <w:basedOn w:val="DefaultParagraphFont"/>
    <w:uiPriority w:val="99"/>
    <w:qFormat/>
    <w:rsid w:val="00b45f1a"/>
    <w:rPr/>
  </w:style>
  <w:style w:type="character" w:styleId="PiedepginaCar" w:customStyle="1">
    <w:name w:val="Pie de página Car"/>
    <w:basedOn w:val="DefaultParagraphFont"/>
    <w:uiPriority w:val="99"/>
    <w:qFormat/>
    <w:rsid w:val="00b45f1a"/>
    <w:rPr/>
  </w:style>
  <w:style w:type="character" w:styleId="TextodegloboCar" w:customStyle="1">
    <w:name w:val="Texto de globo Car"/>
    <w:link w:val="BalloonText"/>
    <w:uiPriority w:val="99"/>
    <w:semiHidden/>
    <w:qFormat/>
    <w:rsid w:val="0025348e"/>
    <w:rPr>
      <w:rFonts w:ascii="Tahoma" w:hAnsi="Tahoma" w:cs="Tahoma"/>
      <w:sz w:val="16"/>
      <w:szCs w:val="16"/>
    </w:rPr>
  </w:style>
  <w:style w:type="character" w:styleId="CommentReference">
    <w:name w:val="annotation reference"/>
    <w:basedOn w:val="DefaultParagraphFont"/>
    <w:uiPriority w:val="99"/>
    <w:semiHidden/>
    <w:unhideWhenUsed/>
    <w:qFormat/>
    <w:rsid w:val="00506503"/>
    <w:rPr>
      <w:sz w:val="16"/>
      <w:szCs w:val="16"/>
    </w:rPr>
  </w:style>
  <w:style w:type="character" w:styleId="TextocomentarioCar" w:customStyle="1">
    <w:name w:val="Texto comentario Car"/>
    <w:basedOn w:val="DefaultParagraphFont"/>
    <w:uiPriority w:val="99"/>
    <w:semiHidden/>
    <w:qFormat/>
    <w:rsid w:val="00506503"/>
    <w:rPr>
      <w:lang w:eastAsia="en-US"/>
    </w:rPr>
  </w:style>
  <w:style w:type="character" w:styleId="AsuntodelcomentarioCar" w:customStyle="1">
    <w:name w:val="Asunto del comentario Car"/>
    <w:basedOn w:val="TextocomentarioCar"/>
    <w:link w:val="annotationsubject"/>
    <w:uiPriority w:val="99"/>
    <w:semiHidden/>
    <w:qFormat/>
    <w:rsid w:val="00506503"/>
    <w:rPr>
      <w:b/>
      <w:bCs/>
      <w:lang w:eastAsia="en-US"/>
    </w:rPr>
  </w:style>
  <w:style w:type="character" w:styleId="Hyperlink">
    <w:name w:val="Hyperlink"/>
    <w:basedOn w:val="DefaultParagraphFont"/>
    <w:uiPriority w:val="99"/>
    <w:unhideWhenUsed/>
    <w:rsid w:val="00250366"/>
    <w:rPr>
      <w:color w:themeColor="hyperlink" w:val="0000FF"/>
      <w:u w:val="single"/>
    </w:rPr>
  </w:style>
  <w:style w:type="character" w:styleId="UnresolvedMention">
    <w:name w:val="Unresolved Mention"/>
    <w:basedOn w:val="DefaultParagraphFont"/>
    <w:uiPriority w:val="99"/>
    <w:semiHidden/>
    <w:unhideWhenUsed/>
    <w:qFormat/>
    <w:rsid w:val="004424e5"/>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FandolFang R" w:cs="Droid Sans Devanagari"/>
      <w:sz w:val="28"/>
      <w:szCs w:val="28"/>
    </w:rPr>
  </w:style>
  <w:style w:type="paragraph" w:styleId="BodyText">
    <w:name w:val="Body Text"/>
    <w:basedOn w:val="Normal"/>
    <w:pPr>
      <w:spacing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ndice" w:customStyle="1">
    <w:name w:val="Índice"/>
    <w:basedOn w:val="Normal"/>
    <w:qFormat/>
    <w:pPr>
      <w:suppressLineNumbers/>
    </w:pPr>
    <w:rPr>
      <w:rFonts w:cs="Droid Sans Devanagari"/>
    </w:rPr>
  </w:style>
  <w:style w:type="paragraph" w:styleId="Ttulouser">
    <w:name w:val="Título (user)"/>
    <w:basedOn w:val="Normal"/>
    <w:next w:val="BodyText"/>
    <w:qFormat/>
    <w:pPr>
      <w:keepNext w:val="true"/>
      <w:spacing w:before="240" w:after="120"/>
    </w:pPr>
    <w:rPr>
      <w:rFonts w:ascii="Liberation Sans" w:hAnsi="Liberation Sans" w:eastAsia="FandolFang R" w:cs="Droid Sans Devanagari"/>
      <w:sz w:val="28"/>
      <w:szCs w:val="28"/>
    </w:rPr>
  </w:style>
  <w:style w:type="paragraph" w:styleId="ndiceuser">
    <w:name w:val="Índice (user)"/>
    <w:basedOn w:val="Normal"/>
    <w:qFormat/>
    <w:pPr>
      <w:suppressLineNumbers/>
    </w:pPr>
    <w:rPr>
      <w:rFonts w:cs="Droid Sans Devanagari"/>
    </w:rPr>
  </w:style>
  <w:style w:type="paragraph" w:styleId="Title">
    <w:name w:val="Title"/>
    <w:basedOn w:val="Normal"/>
    <w:next w:val="BodyText"/>
    <w:qFormat/>
    <w:pPr>
      <w:keepNext w:val="true"/>
      <w:spacing w:before="240" w:after="120"/>
    </w:pPr>
    <w:rPr>
      <w:rFonts w:ascii="Liberation Sans" w:hAnsi="Liberation Sans" w:eastAsia="FandolFang R" w:cs="Droid Sans Devanagari"/>
      <w:sz w:val="28"/>
      <w:szCs w:val="28"/>
    </w:rPr>
  </w:style>
  <w:style w:type="paragraph" w:styleId="Cabeceraypie" w:customStyle="1">
    <w:name w:val="Cabecera y pie"/>
    <w:basedOn w:val="Normal"/>
    <w:qFormat/>
    <w:pPr/>
    <w:rPr/>
  </w:style>
  <w:style w:type="paragraph" w:styleId="Cabeceraypieuser">
    <w:name w:val="Cabecera y pie (user)"/>
    <w:basedOn w:val="Normal"/>
    <w:qFormat/>
    <w:pPr/>
    <w:rPr/>
  </w:style>
  <w:style w:type="paragraph" w:styleId="Header">
    <w:name w:val="header"/>
    <w:basedOn w:val="Normal"/>
    <w:link w:val="EncabezadoCar"/>
    <w:uiPriority w:val="99"/>
    <w:unhideWhenUsed/>
    <w:rsid w:val="00b45f1a"/>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b45f1a"/>
    <w:pPr>
      <w:tabs>
        <w:tab w:val="clear" w:pos="708"/>
        <w:tab w:val="center" w:pos="4252" w:leader="none"/>
        <w:tab w:val="right" w:pos="8504" w:leader="none"/>
      </w:tabs>
      <w:spacing w:lineRule="auto" w:line="240" w:before="0" w:after="0"/>
    </w:pPr>
    <w:rPr/>
  </w:style>
  <w:style w:type="paragraph" w:styleId="ListParagraph">
    <w:name w:val="List Paragraph"/>
    <w:basedOn w:val="Normal"/>
    <w:uiPriority w:val="34"/>
    <w:qFormat/>
    <w:rsid w:val="000906ae"/>
    <w:pPr>
      <w:spacing w:before="0" w:after="200"/>
      <w:ind w:left="720"/>
      <w:contextualSpacing/>
    </w:pPr>
    <w:rPr/>
  </w:style>
  <w:style w:type="paragraph" w:styleId="BalloonText">
    <w:name w:val="Balloon Text"/>
    <w:basedOn w:val="Normal"/>
    <w:link w:val="TextodegloboCar"/>
    <w:uiPriority w:val="99"/>
    <w:semiHidden/>
    <w:unhideWhenUsed/>
    <w:qFormat/>
    <w:rsid w:val="0025348e"/>
    <w:pPr>
      <w:spacing w:lineRule="auto" w:line="240" w:before="0" w:after="0"/>
    </w:pPr>
    <w:rPr>
      <w:rFonts w:ascii="Tahoma" w:hAnsi="Tahoma" w:cs="Tahoma"/>
      <w:sz w:val="16"/>
      <w:szCs w:val="16"/>
    </w:rPr>
  </w:style>
  <w:style w:type="paragraph" w:styleId="CommentText">
    <w:name w:val="annotation text"/>
    <w:basedOn w:val="Normal"/>
    <w:link w:val="TextocomentarioCar"/>
    <w:uiPriority w:val="99"/>
    <w:semiHidden/>
    <w:unhideWhenUsed/>
    <w:qFormat/>
    <w:rsid w:val="00506503"/>
    <w:pPr>
      <w:spacing w:lineRule="auto" w:line="240"/>
    </w:pPr>
    <w:rPr>
      <w:sz w:val="20"/>
      <w:szCs w:val="20"/>
    </w:rPr>
  </w:style>
  <w:style w:type="paragraph" w:styleId="annotationsubject">
    <w:name w:val="annotation subject"/>
    <w:basedOn w:val="CommentText"/>
    <w:next w:val="CommentText"/>
    <w:link w:val="AsuntodelcomentarioCar"/>
    <w:uiPriority w:val="99"/>
    <w:semiHidden/>
    <w:unhideWhenUsed/>
    <w:qFormat/>
    <w:rsid w:val="00506503"/>
    <w:pPr/>
    <w:rPr>
      <w:b/>
      <w:bCs/>
    </w:rPr>
  </w:style>
  <w:style w:type="paragraph" w:styleId="Revision">
    <w:name w:val="Revision"/>
    <w:uiPriority w:val="99"/>
    <w:semiHidden/>
    <w:qFormat/>
    <w:rsid w:val="00306176"/>
    <w:pPr>
      <w:widowControl/>
      <w:suppressAutoHyphens w:val="true"/>
      <w:bidi w:val="0"/>
      <w:spacing w:before="0" w:after="0"/>
      <w:jc w:val="left"/>
    </w:pPr>
    <w:rPr>
      <w:rFonts w:ascii="Calibri" w:hAnsi="Calibri" w:eastAsia="Calibri" w:cs="Times New Roman"/>
      <w:color w:val="auto"/>
      <w:kern w:val="0"/>
      <w:sz w:val="22"/>
      <w:szCs w:val="22"/>
      <w:lang w:val="es-ES" w:eastAsia="en-US" w:bidi="ar-SA"/>
    </w:rPr>
  </w:style>
  <w:style w:type="paragraph" w:styleId="Contenidodelmarco" w:customStyle="1">
    <w:name w:val="Contenido del marco"/>
    <w:basedOn w:val="Normal"/>
    <w:qFormat/>
    <w:pPr/>
    <w:rPr/>
  </w:style>
  <w:style w:type="paragraph" w:styleId="Contenidodelatabla" w:customStyle="1">
    <w:name w:val="Contenido de la tabla"/>
    <w:basedOn w:val="Normal"/>
    <w:qFormat/>
    <w:pPr>
      <w:widowControl w:val="false"/>
      <w:suppressLineNumbers/>
    </w:pPr>
    <w:rPr/>
  </w:style>
  <w:style w:type="paragraph" w:styleId="Ttulodelatabla" w:customStyle="1">
    <w:name w:val="Título de la tabla"/>
    <w:basedOn w:val="Contenidodelatabla"/>
    <w:qFormat/>
    <w:pPr>
      <w:jc w:val="center"/>
    </w:pPr>
    <w:rPr>
      <w:b/>
      <w:bCs/>
    </w:rPr>
  </w:style>
  <w:style w:type="paragraph" w:styleId="Contenidodelmarcouser">
    <w:name w:val="Contenido del marco (user)"/>
    <w:basedOn w:val="Normal"/>
    <w:qFormat/>
    <w:pPr/>
    <w:rPr/>
  </w:style>
  <w:style w:type="numbering" w:styleId="Ningunalista" w:default="1">
    <w:name w:val="Ninguna lista"/>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59"/>
    <w:rsid w:val="001406e4"/>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
    <w:name w:val="Tabla con cuadrícula1"/>
    <w:basedOn w:val="Tablanormal"/>
    <w:uiPriority w:val="59"/>
    <w:rsid w:val="00d20220"/>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103/xsjh-lq5h" TargetMode="External"/><Relationship Id="rId3" Type="http://schemas.openxmlformats.org/officeDocument/2006/relationships/hyperlink" Target="https://doi.org/10.1103/PhysRevX.15.011039" TargetMode="External"/><Relationship Id="rId4" Type="http://schemas.openxmlformats.org/officeDocument/2006/relationships/hyperlink" Target="https://doi.org/10.1088/2053-1583/ad9287" TargetMode="External"/><Relationship Id="rId5" Type="http://schemas.openxmlformats.org/officeDocument/2006/relationships/hyperlink" Target="https://doi.org/10.1088/2053-1583/ad8d65" TargetMode="External"/><Relationship Id="rId6" Type="http://schemas.openxmlformats.org/officeDocument/2006/relationships/hyperlink" Target="https://doi.org/10.1038/s42005-024-01632-7" TargetMode="External"/><Relationship Id="rId7" Type="http://schemas.openxmlformats.org/officeDocument/2006/relationships/hyperlink" Target="https://doi.org/10.1021/acs.nanolett.3c02559" TargetMode="External"/><Relationship Id="rId8" Type="http://schemas.openxmlformats.org/officeDocument/2006/relationships/hyperlink" Target="https://doi.org/10.1088/2053-1583/ad0402" TargetMode="External"/><Relationship Id="rId9" Type="http://schemas.openxmlformats.org/officeDocument/2006/relationships/hyperlink" Target="https://doi.org/10.1103/PhysRevB.106.045129" TargetMode="External"/><Relationship Id="rId10" Type="http://schemas.openxmlformats.org/officeDocument/2006/relationships/hyperlink" Target="https://doi.org/10.1039/d1nr03896f" TargetMode="External"/><Relationship Id="rId11" Type="http://schemas.openxmlformats.org/officeDocument/2006/relationships/hyperlink" Target="https://doi.org/10.1038/s42005-020-00460-9"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413</TotalTime>
  <Application>LibreOffice/24.8.7.2$Linux_X86_64 LibreOffice_project/480$Build-2</Application>
  <AppVersion>15.0000</AppVersion>
  <Pages>4</Pages>
  <Words>1891</Words>
  <Characters>11234</Characters>
  <CharactersWithSpaces>12995</CharactersWithSpaces>
  <Paragraphs>131</Paragraphs>
  <Company>Ministerio de Ciencia e Innovación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2022-10-31T10:34:00Z</dcterms:created>
  <dc:creator>Franch Meneu, M.Asuncion</dc:creator>
  <dc:description/>
  <dc:language>es-ES</dc:language>
  <cp:lastModifiedBy/>
  <cp:lastPrinted>2021-09-13T10:00:00Z</cp:lastPrinted>
  <dcterms:modified xsi:type="dcterms:W3CDTF">2025-11-20T12:47:10Z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file>