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_rels/header2.xml.rels" ContentType="application/vnd.openxmlformats-package.relationships+xml"/>
  <Override PartName="/word/_rels/header3.xml.rels" ContentType="application/vnd.openxmlformats-package.relationships+xml"/>
  <Override PartName="/word/_rels/fontTable.xml.rels" ContentType="application/vnd.openxmlformats-package.relationships+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header2.xml" ContentType="application/vnd.openxmlformats-officedocument.wordprocessingml.header+xml"/>
  <Override PartName="/word/footer3.xml" ContentType="application/vnd.openxmlformats-officedocument.wordprocessingml.footer+xml"/>
  <Override PartName="/word/document.xml" ContentType="application/vnd.openxmlformats-officedocument.wordprocessingml.document.main+xml"/>
  <Override PartName="/word/styles.xml" ContentType="application/vnd.openxmlformats-officedocument.wordprocessingml.styles+xml"/>
  <Override PartName="/word/media/image1.png" ContentType="image/png"/>
  <Override PartName="/word/media/image2.png" ContentType="image/png"/>
  <Override PartName="/word/media/image3.jpeg" ContentType="image/jpeg"/>
  <Override PartName="/word/media/image4.png" ContentType="image/png"/>
  <Override PartName="/word/media/image5.png" ContentType="image/png"/>
  <Override PartName="/word/media/image8.jpeg" ContentType="image/jpeg"/>
  <Override PartName="/word/media/image6.png" ContentType="image/png"/>
  <Override PartName="/word/media/image7.jpeg" ContentType="image/jpeg"/>
  <Override PartName="/word/media/image9.jpeg" ContentType="image/jpeg"/>
  <Override PartName="/word/media/image10.jpeg" ContentType="image/jpeg"/>
  <Override PartName="/word/media/image11.jpeg" ContentType="image/jpeg"/>
  <Override PartName="/word/theme/theme1.xml" ContentType="application/vnd.openxmlformats-officedocument.theme+xml"/>
  <Override PartName="/word/header1.xml" ContentType="application/vnd.openxmlformats-officedocument.wordprocessingml.header+xml"/>
  <Override PartName="/word/footer2.xml" ContentType="application/vnd.openxmlformats-officedocument.wordprocessingml.footer+xml"/>
  <Override PartName="/word/fonts/font9.odttf" ContentType="application/vnd.openxmlformats-officedocument.obfuscatedFont"/>
  <Override PartName="/word/fonts/font15.odttf" ContentType="application/vnd.openxmlformats-officedocument.obfuscatedFont"/>
  <Override PartName="/word/fonts/font8.odttf" ContentType="application/vnd.openxmlformats-officedocument.obfuscatedFont"/>
  <Override PartName="/word/fonts/font14.odttf" ContentType="application/vnd.openxmlformats-officedocument.obfuscatedFont"/>
  <Override PartName="/word/fonts/font7.odttf" ContentType="application/vnd.openxmlformats-officedocument.obfuscatedFont"/>
  <Override PartName="/word/fonts/font13.odttf" ContentType="application/vnd.openxmlformats-officedocument.obfuscatedFont"/>
  <Override PartName="/word/fonts/font6.odttf" ContentType="application/vnd.openxmlformats-officedocument.obfuscatedFont"/>
  <Override PartName="/word/fonts/font12.odttf" ContentType="application/vnd.openxmlformats-officedocument.obfuscatedFont"/>
  <Override PartName="/word/fonts/font22.odttf" ContentType="application/vnd.openxmlformats-officedocument.obfuscatedFont"/>
  <Override PartName="/word/fonts/font1.odttf" ContentType="application/vnd.openxmlformats-officedocument.obfuscatedFont"/>
  <Override PartName="/word/fonts/font21.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18.odttf" ContentType="application/vnd.openxmlformats-officedocument.obfuscatedFont"/>
  <Override PartName="/word/fonts/font17.odttf" ContentType="application/vnd.openxmlformats-officedocument.obfuscatedFont"/>
  <Override PartName="/word/fonts/font16.odttf" ContentType="application/vnd.openxmlformats-officedocument.obfuscatedFont"/>
  <Override PartName="/word/fonts/font2.odttf" ContentType="application/vnd.openxmlformats-officedocument.obfuscatedFont"/>
  <Override PartName="/word/fonts/font5.odttf" ContentType="application/vnd.openxmlformats-officedocument.obfuscatedFont"/>
  <Override PartName="/word/fonts/font11.odttf" ContentType="application/vnd.openxmlformats-officedocument.obfuscatedFont"/>
  <Override PartName="/word/fonts/font3.odttf" ContentType="application/vnd.openxmlformats-officedocument.obfuscatedFont"/>
  <Override PartName="/word/fonts/font10.odttf" ContentType="application/vnd.openxmlformats-officedocument.obfuscatedFont"/>
  <Override PartName="/word/fonts/font4.odttf" ContentType="application/vnd.openxmlformats-officedocument.obfuscatedFont"/>
  <Override PartName="/word/header3.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customXml/_rels/item1.xml.rels" ContentType="application/vnd.openxmlformats-package.relationships+xml"/>
  <Override PartName="/customXml/item1.xml" ContentType="application/xml"/>
  <Override PartName="/customXml/itemProps1.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lineRule="auto" w:line="240" w:before="0" w:after="0"/>
        <w:jc w:val="both"/>
        <w:rPr>
          <w:rFonts w:ascii="Arial" w:hAnsi="Arial" w:eastAsia="Arial" w:cs="Arial"/>
        </w:rPr>
      </w:pPr>
      <w:r>
        <mc:AlternateContent>
          <mc:Choice Requires="wpg">
            <w:drawing>
              <wp:anchor behindDoc="0" distT="0" distB="13970" distL="0" distR="124460" simplePos="0" locked="0" layoutInCell="0" allowOverlap="1" relativeHeight="79" wp14:anchorId="3E17B580">
                <wp:simplePos x="0" y="0"/>
                <wp:positionH relativeFrom="margin">
                  <wp:align>left</wp:align>
                </wp:positionH>
                <wp:positionV relativeFrom="paragraph">
                  <wp:posOffset>36830</wp:posOffset>
                </wp:positionV>
                <wp:extent cx="5990590" cy="2133600"/>
                <wp:effectExtent l="0" t="1270" r="0" b="5080"/>
                <wp:wrapTopAndBottom/>
                <wp:docPr id="1" name="Grupo 1908487791"/>
                <a:graphic xmlns:a="http://schemas.openxmlformats.org/drawingml/2006/main">
                  <a:graphicData uri="http://schemas.microsoft.com/office/word/2010/wordprocessingGroup">
                    <wpg:wgp>
                      <wpg:cNvGrpSpPr/>
                      <wpg:grpSpPr>
                        <a:xfrm>
                          <a:off x="0" y="0"/>
                          <a:ext cx="5990760" cy="2133720"/>
                          <a:chOff x="0" y="0"/>
                          <a:chExt cx="5990760" cy="2133720"/>
                        </a:xfrm>
                      </wpg:grpSpPr>
                      <wpg:grpSp>
                        <wpg:cNvGrpSpPr/>
                        <wpg:grpSpPr>
                          <a:xfrm>
                            <a:off x="0" y="0"/>
                            <a:ext cx="5990760" cy="2133720"/>
                          </a:xfrm>
                        </wpg:grpSpPr>
                        <wps:wsp>
                          <wps:cNvPr id="2" name="Rectángulo 1667024533"/>
                          <wps:cNvSpPr/>
                          <wps:spPr>
                            <a:xfrm>
                              <a:off x="0" y="0"/>
                              <a:ext cx="5990760" cy="2000160"/>
                            </a:xfrm>
                            <a:prstGeom prst="rect">
                              <a:avLst/>
                            </a:prstGeom>
                            <a:noFill/>
                            <a:ln w="0">
                              <a:noFill/>
                            </a:ln>
                          </wps:spPr>
                          <wps:style>
                            <a:lnRef idx="0"/>
                            <a:fillRef idx="0"/>
                            <a:effectRef idx="0"/>
                            <a:fontRef idx="minor"/>
                          </wps:style>
                          <wps:txbx>
                            <w:txbxContent>
                              <w:p>
                                <w:pPr>
                                  <w:pStyle w:val="Normal"/>
                                  <w:spacing w:lineRule="auto" w:line="240" w:before="0" w:after="0"/>
                                  <w:rPr/>
                                </w:pPr>
                                <w:r>
                                  <w:rPr/>
                                </w:r>
                              </w:p>
                            </w:txbxContent>
                          </wps:txbx>
                          <wps:bodyPr tIns="91440" bIns="91440" anchor="ctr">
                            <a:noAutofit/>
                          </wps:bodyPr>
                        </wps:wsp>
                        <wpg:grpSp>
                          <wpg:cNvGrpSpPr/>
                          <wpg:grpSpPr>
                            <a:xfrm>
                              <a:off x="4320" y="4320"/>
                              <a:ext cx="5981040" cy="2129040"/>
                            </a:xfrm>
                          </wpg:grpSpPr>
                          <wps:wsp>
                            <wps:cNvPr id="3" name="Rectángulo 1017260599"/>
                            <wps:cNvSpPr/>
                            <wps:spPr>
                              <a:xfrm>
                                <a:off x="0" y="0"/>
                                <a:ext cx="5981040" cy="1716480"/>
                              </a:xfrm>
                              <a:prstGeom prst="rect">
                                <a:avLst/>
                              </a:prstGeom>
                              <a:noFill/>
                              <a:ln w="0">
                                <a:noFill/>
                              </a:ln>
                            </wps:spPr>
                            <wps:style>
                              <a:lnRef idx="0"/>
                              <a:fillRef idx="0"/>
                              <a:effectRef idx="0"/>
                              <a:fontRef idx="minor"/>
                            </wps:style>
                            <wps:txbx>
                              <w:txbxContent>
                                <w:p>
                                  <w:pPr>
                                    <w:pStyle w:val="Normal"/>
                                    <w:spacing w:lineRule="auto" w:line="240" w:before="0" w:after="0"/>
                                    <w:rPr/>
                                  </w:pPr>
                                  <w:r>
                                    <w:rPr/>
                                  </w:r>
                                </w:p>
                              </w:txbxContent>
                            </wps:txbx>
                            <wps:bodyPr tIns="91440" bIns="91440" anchor="ctr">
                              <a:noAutofit/>
                            </wps:bodyPr>
                          </wps:wsp>
                          <wps:wsp>
                            <wps:cNvPr id="4" name="Rectángulo 247139548"/>
                            <wps:cNvSpPr/>
                            <wps:spPr>
                              <a:xfrm>
                                <a:off x="0" y="624240"/>
                                <a:ext cx="5981040" cy="1504800"/>
                              </a:xfrm>
                              <a:prstGeom prst="rect">
                                <a:avLst/>
                              </a:prstGeom>
                              <a:solidFill>
                                <a:srgbClr val="ffff00"/>
                              </a:solidFill>
                              <a:ln w="9525">
                                <a:solidFill>
                                  <a:srgbClr val="000000"/>
                                </a:solidFill>
                                <a:miter/>
                              </a:ln>
                            </wps:spPr>
                            <wps:style>
                              <a:lnRef idx="0"/>
                              <a:fillRef idx="0"/>
                              <a:effectRef idx="0"/>
                              <a:fontRef idx="minor"/>
                            </wps:style>
                            <wps:txbx>
                              <w:txbxContent>
                                <w:p>
                                  <w:pPr>
                                    <w:pStyle w:val="Normal"/>
                                    <w:spacing w:lineRule="auto" w:line="240" w:before="0" w:after="0"/>
                                    <w:ind w:firstLine="567" w:left="567"/>
                                    <w:jc w:val="both"/>
                                    <w:rPr/>
                                  </w:pPr>
                                  <w:r>
                                    <w:rPr>
                                      <w:rFonts w:eastAsia="Arial" w:cs="Arial" w:ascii="Arial" w:hAnsi="Arial"/>
                                      <w:b/>
                                      <w:color w:val="FF0000"/>
                                      <w:sz w:val="20"/>
                                    </w:rPr>
                                    <w:t xml:space="preserve">AVISO IMPORTANTE </w:t>
                                  </w:r>
                                  <w:r>
                                    <w:rPr>
                                      <w:rFonts w:eastAsia="Arial" w:cs="Arial" w:ascii="Arial" w:hAnsi="Arial"/>
                                      <w:b/>
                                      <w:color w:val="000000"/>
                                      <w:sz w:val="20"/>
                                    </w:rPr>
                                    <w:t xml:space="preserve">- La memoria </w:t>
                                  </w:r>
                                  <w:r>
                                    <w:rPr>
                                      <w:rFonts w:eastAsia="Arial" w:cs="Arial" w:ascii="Arial" w:hAnsi="Arial"/>
                                      <w:b/>
                                      <w:color w:val="000000"/>
                                      <w:sz w:val="20"/>
                                      <w:u w:val="single"/>
                                    </w:rPr>
                                    <w:t>no podrá exceder de 35 páginas</w:t>
                                  </w:r>
                                  <w:r>
                                    <w:rPr>
                                      <w:rFonts w:eastAsia="Arial" w:cs="Arial" w:ascii="Arial" w:hAnsi="Arial"/>
                                      <w:b/>
                                      <w:color w:val="000000"/>
                                      <w:sz w:val="20"/>
                                    </w:rPr>
                                    <w:t xml:space="preserve">. Para rellenar correctamente esta memoria, lea detenidamente las instrucciones disponibles en la web de la convocatoria. </w:t>
                                  </w:r>
                                  <w:r>
                                    <w:rPr>
                                      <w:rFonts w:eastAsia="Arial" w:cs="Arial" w:ascii="Arial" w:hAnsi="Arial"/>
                                      <w:b/>
                                      <w:color w:val="000000"/>
                                      <w:sz w:val="20"/>
                                      <w:u w:val="single"/>
                                    </w:rPr>
                                    <w:t>Es obligatorio rellenarla en inglés si se solicita 100.000 € o más</w:t>
                                  </w:r>
                                  <w:r>
                                    <w:rPr>
                                      <w:rFonts w:eastAsia="Arial" w:cs="Arial" w:ascii="Arial" w:hAnsi="Arial"/>
                                      <w:b/>
                                      <w:color w:val="000000"/>
                                      <w:sz w:val="20"/>
                                    </w:rPr>
                                    <w:t xml:space="preserve"> (en costes directos)</w:t>
                                  </w:r>
                                  <w:r>
                                    <w:rPr>
                                      <w:rFonts w:eastAsia="Arial" w:cs="Arial" w:ascii="Arial" w:hAnsi="Arial"/>
                                      <w:color w:val="000000"/>
                                      <w:sz w:val="20"/>
                                    </w:rPr>
                                    <w:t xml:space="preserve"> para la suma de todas las solicitudes que componen el coordinado</w:t>
                                  </w:r>
                                  <w:r>
                                    <w:rPr>
                                      <w:rFonts w:eastAsia="Arial" w:cs="Arial" w:ascii="Arial" w:hAnsi="Arial"/>
                                      <w:b/>
                                      <w:color w:val="000000"/>
                                      <w:sz w:val="20"/>
                                    </w:rPr>
                                    <w:t>.</w:t>
                                  </w:r>
                                </w:p>
                                <w:p>
                                  <w:pPr>
                                    <w:pStyle w:val="Normal"/>
                                    <w:spacing w:lineRule="auto" w:line="240" w:before="0" w:after="0"/>
                                    <w:ind w:firstLine="567" w:left="567"/>
                                    <w:jc w:val="both"/>
                                    <w:rPr/>
                                  </w:pPr>
                                  <w:r>
                                    <w:rPr/>
                                  </w:r>
                                </w:p>
                                <w:p>
                                  <w:pPr>
                                    <w:pStyle w:val="Normal"/>
                                    <w:spacing w:lineRule="auto" w:line="240" w:before="0" w:after="0"/>
                                    <w:ind w:firstLine="567" w:left="567"/>
                                    <w:jc w:val="both"/>
                                    <w:rPr/>
                                  </w:pPr>
                                  <w:r>
                                    <w:rPr>
                                      <w:rFonts w:eastAsia="Arial" w:cs="Arial" w:ascii="Arial" w:hAnsi="Arial"/>
                                      <w:b/>
                                      <w:i/>
                                      <w:color w:val="FF0000"/>
                                      <w:sz w:val="20"/>
                                    </w:rPr>
                                    <w:t>IMPORTANT</w:t>
                                  </w:r>
                                  <w:r>
                                    <w:rPr>
                                      <w:rFonts w:eastAsia="Arial" w:cs="Arial" w:ascii="Arial" w:hAnsi="Arial"/>
                                      <w:b/>
                                      <w:i/>
                                      <w:color w:val="000000"/>
                                      <w:sz w:val="20"/>
                                    </w:rPr>
                                    <w:t xml:space="preserve"> – The research proposal </w:t>
                                  </w:r>
                                  <w:r>
                                    <w:rPr>
                                      <w:rFonts w:eastAsia="Arial" w:cs="Arial" w:ascii="Arial" w:hAnsi="Arial"/>
                                      <w:b/>
                                      <w:i/>
                                      <w:color w:val="000000"/>
                                      <w:sz w:val="20"/>
                                      <w:u w:val="single"/>
                                    </w:rPr>
                                    <w:t>cannot exceed 35 pages</w:t>
                                  </w:r>
                                  <w:r>
                                    <w:rPr>
                                      <w:rFonts w:eastAsia="Arial" w:cs="Arial" w:ascii="Arial" w:hAnsi="Arial"/>
                                      <w:b/>
                                      <w:i/>
                                      <w:color w:val="000000"/>
                                      <w:sz w:val="20"/>
                                    </w:rPr>
                                    <w:t xml:space="preserve">. Instructions to fill this document are available in the website. </w:t>
                                  </w:r>
                                  <w:r>
                                    <w:rPr>
                                      <w:rFonts w:eastAsia="Arial" w:cs="Arial" w:ascii="Arial" w:hAnsi="Arial"/>
                                      <w:b/>
                                      <w:i/>
                                      <w:color w:val="000000"/>
                                      <w:sz w:val="20"/>
                                      <w:u w:val="single"/>
                                    </w:rPr>
                                    <w:t>If the project cost is equal or greater than 100.000 €, (</w:t>
                                  </w:r>
                                  <w:r>
                                    <w:rPr>
                                      <w:rFonts w:eastAsia="Arial" w:cs="Arial" w:ascii="Arial" w:hAnsi="Arial"/>
                                      <w:color w:val="000000"/>
                                      <w:sz w:val="20"/>
                                    </w:rPr>
                                    <w:t>for total amount of the requests that compose the coordinated)</w:t>
                                  </w:r>
                                  <w:r>
                                    <w:rPr>
                                      <w:rFonts w:eastAsia="Arial" w:cs="Arial" w:ascii="Arial" w:hAnsi="Arial"/>
                                      <w:b/>
                                      <w:i/>
                                      <w:color w:val="000000"/>
                                      <w:sz w:val="20"/>
                                      <w:u w:val="single"/>
                                    </w:rPr>
                                    <w:t xml:space="preserve"> this document must be filled in English</w:t>
                                  </w:r>
                                  <w:r>
                                    <w:rPr>
                                      <w:rFonts w:eastAsia="Arial" w:cs="Arial" w:ascii="Arial" w:hAnsi="Arial"/>
                                      <w:b/>
                                      <w:i/>
                                      <w:color w:val="000000"/>
                                      <w:sz w:val="20"/>
                                    </w:rPr>
                                    <w:t>.</w:t>
                                  </w:r>
                                </w:p>
                              </w:txbxContent>
                            </wps:txbx>
                            <wps:bodyPr lIns="0" tIns="108000" anchor="t">
                              <a:noAutofit/>
                            </wps:bodyPr>
                          </wps:wsp>
                          <wps:wsp>
                            <wps:cNvPr id="5" name="Rectángulo 2081704189"/>
                            <wps:cNvSpPr/>
                            <wps:spPr>
                              <a:xfrm>
                                <a:off x="0" y="0"/>
                                <a:ext cx="5981040" cy="680040"/>
                              </a:xfrm>
                              <a:prstGeom prst="rect">
                                <a:avLst/>
                              </a:prstGeom>
                              <a:solidFill>
                                <a:srgbClr val="ffffff"/>
                              </a:solidFill>
                              <a:ln w="9525">
                                <a:solidFill>
                                  <a:srgbClr val="000000"/>
                                </a:solidFill>
                                <a:miter/>
                              </a:ln>
                            </wps:spPr>
                            <wps:style>
                              <a:lnRef idx="0"/>
                              <a:fillRef idx="0"/>
                              <a:effectRef idx="0"/>
                              <a:fontRef idx="minor"/>
                            </wps:style>
                            <wps:txbx>
                              <w:txbxContent>
                                <w:p>
                                  <w:pPr>
                                    <w:pStyle w:val="Normal"/>
                                    <w:spacing w:lineRule="auto" w:line="240" w:before="0" w:after="0"/>
                                    <w:jc w:val="center"/>
                                    <w:rPr/>
                                  </w:pPr>
                                  <w:r>
                                    <w:rPr>
                                      <w:rFonts w:eastAsia="Arial" w:cs="Arial" w:ascii="Arial" w:hAnsi="Arial"/>
                                      <w:b/>
                                      <w:color w:val="000000"/>
                                      <w:u w:val="single"/>
                                    </w:rPr>
                                    <w:t xml:space="preserve">MEMORIA CIENTÍFICO-TÉCNICA PROYECTOS COORDINADOS </w:t>
                                  </w:r>
                                </w:p>
                                <w:p>
                                  <w:pPr>
                                    <w:pStyle w:val="Normal"/>
                                    <w:spacing w:lineRule="auto" w:line="240" w:before="0" w:after="0"/>
                                    <w:jc w:val="both"/>
                                    <w:rPr/>
                                  </w:pPr>
                                  <w:r>
                                    <w:rPr>
                                      <w:rFonts w:eastAsia="Arial" w:cs="Arial" w:ascii="Arial" w:hAnsi="Arial"/>
                                      <w:b/>
                                      <w:color w:val="000000"/>
                                    </w:rPr>
                                    <w:t>Convocatoria 2025 - «Proyectos de Generación de Conocimiento» y actuaciones para la formación de personal investigador predoctoral asociadas a dichos proyectos.</w:t>
                                  </w:r>
                                </w:p>
                              </w:txbxContent>
                            </wps:txbx>
                            <wps:bodyPr anchor="t">
                              <a:noAutofit/>
                            </wps:bodyPr>
                          </wps:wsp>
                        </wpg:grpSp>
                      </wpg:grpSp>
                    </wpg:wgp>
                  </a:graphicData>
                </a:graphic>
              </wp:anchor>
            </w:drawing>
          </mc:Choice>
          <mc:Fallback>
            <w:pict>
              <v:group id="shape_0" alt="Grupo 1908487791" style="position:absolute;margin-left:-0.1pt;margin-top:2.9pt;width:471.7pt;height:167.95pt" coordorigin="-2,58" coordsize="9434,3359">
                <v:group id="shape_0" style="position:absolute;left:-2;top:58;width:9434;height:3359">
                  <v:rect id="shape_0" ID="Rectángulo 1667024533" path="m0,0l-2147483645,0l-2147483645,-2147483646l0,-2147483646xe" stroked="f" o:allowincell="f" style="position:absolute;left:-2;top:58;width:9433;height:3149;mso-wrap-style:none;v-text-anchor:middle;mso-position-horizontal:left;mso-position-horizontal-relative:margin">
                    <v:fill o:detectmouseclick="t" on="false"/>
                    <v:stroke color="#3465a4" joinstyle="round" endcap="flat"/>
                    <v:textbox>
                      <w:txbxContent>
                        <w:p>
                          <w:pPr>
                            <w:pStyle w:val="Normal"/>
                            <w:spacing w:lineRule="auto" w:line="240" w:before="0" w:after="0"/>
                            <w:rPr/>
                          </w:pPr>
                          <w:r>
                            <w:rPr/>
                          </w:r>
                        </w:p>
                      </w:txbxContent>
                    </v:textbox>
                    <w10:wrap type="topAndBottom"/>
                  </v:rect>
                  <v:group id="shape_0" style="position:absolute;left:5;top:65;width:9419;height:3353">
                    <v:rect id="shape_0" ID="Rectángulo 1017260599" path="m0,0l-2147483645,0l-2147483645,-2147483646l0,-2147483646xe" stroked="f" o:allowincell="f" style="position:absolute;left:5;top:65;width:9418;height:2702;mso-wrap-style:none;v-text-anchor:middle;mso-position-horizontal:left;mso-position-horizontal-relative:margin">
                      <v:fill o:detectmouseclick="t" on="false"/>
                      <v:stroke color="#3465a4" joinstyle="round" endcap="flat"/>
                      <v:textbox>
                        <w:txbxContent>
                          <w:p>
                            <w:pPr>
                              <w:pStyle w:val="Normal"/>
                              <w:spacing w:lineRule="auto" w:line="240" w:before="0" w:after="0"/>
                              <w:rPr/>
                            </w:pPr>
                            <w:r>
                              <w:rPr/>
                            </w:r>
                          </w:p>
                        </w:txbxContent>
                      </v:textbox>
                      <w10:wrap type="topAndBottom"/>
                    </v:rect>
                    <v:rect id="shape_0" ID="Rectángulo 247139548" path="m0,0l-2147483645,0l-2147483645,-2147483646l0,-2147483646xe" fillcolor="yellow" stroked="t" o:allowincell="f" style="position:absolute;left:5;top:1048;width:9418;height:2369;mso-wrap-style:square;v-text-anchor:top;mso-position-horizontal:left;mso-position-horizontal-relative:margin">
                      <v:fill o:detectmouseclick="t" type="solid" color2="blue"/>
                      <v:stroke color="black" weight="9360" joinstyle="miter" endcap="flat"/>
                      <v:textbox>
                        <w:txbxContent>
                          <w:p>
                            <w:pPr>
                              <w:pStyle w:val="Normal"/>
                              <w:spacing w:lineRule="auto" w:line="240" w:before="0" w:after="0"/>
                              <w:ind w:firstLine="567" w:left="567"/>
                              <w:jc w:val="both"/>
                              <w:rPr/>
                            </w:pPr>
                            <w:r>
                              <w:rPr>
                                <w:rFonts w:eastAsia="Arial" w:cs="Arial" w:ascii="Arial" w:hAnsi="Arial"/>
                                <w:b/>
                                <w:color w:val="FF0000"/>
                                <w:sz w:val="20"/>
                              </w:rPr>
                              <w:t xml:space="preserve">AVISO IMPORTANTE </w:t>
                            </w:r>
                            <w:r>
                              <w:rPr>
                                <w:rFonts w:eastAsia="Arial" w:cs="Arial" w:ascii="Arial" w:hAnsi="Arial"/>
                                <w:b/>
                                <w:color w:val="000000"/>
                                <w:sz w:val="20"/>
                              </w:rPr>
                              <w:t xml:space="preserve">- La memoria </w:t>
                            </w:r>
                            <w:r>
                              <w:rPr>
                                <w:rFonts w:eastAsia="Arial" w:cs="Arial" w:ascii="Arial" w:hAnsi="Arial"/>
                                <w:b/>
                                <w:color w:val="000000"/>
                                <w:sz w:val="20"/>
                                <w:u w:val="single"/>
                              </w:rPr>
                              <w:t>no podrá exceder de 35 páginas</w:t>
                            </w:r>
                            <w:r>
                              <w:rPr>
                                <w:rFonts w:eastAsia="Arial" w:cs="Arial" w:ascii="Arial" w:hAnsi="Arial"/>
                                <w:b/>
                                <w:color w:val="000000"/>
                                <w:sz w:val="20"/>
                              </w:rPr>
                              <w:t xml:space="preserve">. Para rellenar correctamente esta memoria, lea detenidamente las instrucciones disponibles en la web de la convocatoria. </w:t>
                            </w:r>
                            <w:r>
                              <w:rPr>
                                <w:rFonts w:eastAsia="Arial" w:cs="Arial" w:ascii="Arial" w:hAnsi="Arial"/>
                                <w:b/>
                                <w:color w:val="000000"/>
                                <w:sz w:val="20"/>
                                <w:u w:val="single"/>
                              </w:rPr>
                              <w:t>Es obligatorio rellenarla en inglés si se solicita 100.000 € o más</w:t>
                            </w:r>
                            <w:r>
                              <w:rPr>
                                <w:rFonts w:eastAsia="Arial" w:cs="Arial" w:ascii="Arial" w:hAnsi="Arial"/>
                                <w:b/>
                                <w:color w:val="000000"/>
                                <w:sz w:val="20"/>
                              </w:rPr>
                              <w:t xml:space="preserve"> (en costes directos)</w:t>
                            </w:r>
                            <w:r>
                              <w:rPr>
                                <w:rFonts w:eastAsia="Arial" w:cs="Arial" w:ascii="Arial" w:hAnsi="Arial"/>
                                <w:color w:val="000000"/>
                                <w:sz w:val="20"/>
                              </w:rPr>
                              <w:t xml:space="preserve"> para la suma de todas las solicitudes que componen el coordinado</w:t>
                            </w:r>
                            <w:r>
                              <w:rPr>
                                <w:rFonts w:eastAsia="Arial" w:cs="Arial" w:ascii="Arial" w:hAnsi="Arial"/>
                                <w:b/>
                                <w:color w:val="000000"/>
                                <w:sz w:val="20"/>
                              </w:rPr>
                              <w:t>.</w:t>
                            </w:r>
                          </w:p>
                          <w:p>
                            <w:pPr>
                              <w:pStyle w:val="Normal"/>
                              <w:spacing w:lineRule="auto" w:line="240" w:before="0" w:after="0"/>
                              <w:ind w:firstLine="567" w:left="567"/>
                              <w:jc w:val="both"/>
                              <w:rPr/>
                            </w:pPr>
                            <w:r>
                              <w:rPr/>
                            </w:r>
                          </w:p>
                          <w:p>
                            <w:pPr>
                              <w:pStyle w:val="Normal"/>
                              <w:spacing w:lineRule="auto" w:line="240" w:before="0" w:after="0"/>
                              <w:ind w:firstLine="567" w:left="567"/>
                              <w:jc w:val="both"/>
                              <w:rPr/>
                            </w:pPr>
                            <w:r>
                              <w:rPr>
                                <w:rFonts w:eastAsia="Arial" w:cs="Arial" w:ascii="Arial" w:hAnsi="Arial"/>
                                <w:b/>
                                <w:i/>
                                <w:color w:val="FF0000"/>
                                <w:sz w:val="20"/>
                              </w:rPr>
                              <w:t>IMPORTANT</w:t>
                            </w:r>
                            <w:r>
                              <w:rPr>
                                <w:rFonts w:eastAsia="Arial" w:cs="Arial" w:ascii="Arial" w:hAnsi="Arial"/>
                                <w:b/>
                                <w:i/>
                                <w:color w:val="000000"/>
                                <w:sz w:val="20"/>
                              </w:rPr>
                              <w:t xml:space="preserve"> – The research proposal </w:t>
                            </w:r>
                            <w:r>
                              <w:rPr>
                                <w:rFonts w:eastAsia="Arial" w:cs="Arial" w:ascii="Arial" w:hAnsi="Arial"/>
                                <w:b/>
                                <w:i/>
                                <w:color w:val="000000"/>
                                <w:sz w:val="20"/>
                                <w:u w:val="single"/>
                              </w:rPr>
                              <w:t>cannot exceed 35 pages</w:t>
                            </w:r>
                            <w:r>
                              <w:rPr>
                                <w:rFonts w:eastAsia="Arial" w:cs="Arial" w:ascii="Arial" w:hAnsi="Arial"/>
                                <w:b/>
                                <w:i/>
                                <w:color w:val="000000"/>
                                <w:sz w:val="20"/>
                              </w:rPr>
                              <w:t xml:space="preserve">. Instructions to fill this document are available in the website. </w:t>
                            </w:r>
                            <w:r>
                              <w:rPr>
                                <w:rFonts w:eastAsia="Arial" w:cs="Arial" w:ascii="Arial" w:hAnsi="Arial"/>
                                <w:b/>
                                <w:i/>
                                <w:color w:val="000000"/>
                                <w:sz w:val="20"/>
                                <w:u w:val="single"/>
                              </w:rPr>
                              <w:t>If the project cost is equal or greater than 100.000 €, (</w:t>
                            </w:r>
                            <w:r>
                              <w:rPr>
                                <w:rFonts w:eastAsia="Arial" w:cs="Arial" w:ascii="Arial" w:hAnsi="Arial"/>
                                <w:color w:val="000000"/>
                                <w:sz w:val="20"/>
                              </w:rPr>
                              <w:t>for total amount of the requests that compose the coordinated)</w:t>
                            </w:r>
                            <w:r>
                              <w:rPr>
                                <w:rFonts w:eastAsia="Arial" w:cs="Arial" w:ascii="Arial" w:hAnsi="Arial"/>
                                <w:b/>
                                <w:i/>
                                <w:color w:val="000000"/>
                                <w:sz w:val="20"/>
                                <w:u w:val="single"/>
                              </w:rPr>
                              <w:t xml:space="preserve"> this document must be filled in English</w:t>
                            </w:r>
                            <w:r>
                              <w:rPr>
                                <w:rFonts w:eastAsia="Arial" w:cs="Arial" w:ascii="Arial" w:hAnsi="Arial"/>
                                <w:b/>
                                <w:i/>
                                <w:color w:val="000000"/>
                                <w:sz w:val="20"/>
                              </w:rPr>
                              <w:t>.</w:t>
                            </w:r>
                          </w:p>
                        </w:txbxContent>
                      </v:textbox>
                      <w10:wrap type="topAndBottom"/>
                    </v:rect>
                    <v:rect id="shape_0" ID="Rectángulo 2081704189" path="m0,0l-2147483645,0l-2147483645,-2147483646l0,-2147483646xe" fillcolor="white" stroked="t" o:allowincell="f" style="position:absolute;left:5;top:65;width:9418;height:1070;mso-wrap-style:square;v-text-anchor:top;mso-position-horizontal:left;mso-position-horizontal-relative:margin">
                      <v:fill o:detectmouseclick="t" type="solid" color2="black"/>
                      <v:stroke color="black" weight="9360" joinstyle="miter" endcap="flat"/>
                      <v:textbox>
                        <w:txbxContent>
                          <w:p>
                            <w:pPr>
                              <w:pStyle w:val="Normal"/>
                              <w:spacing w:lineRule="auto" w:line="240" w:before="0" w:after="0"/>
                              <w:jc w:val="center"/>
                              <w:rPr/>
                            </w:pPr>
                            <w:r>
                              <w:rPr>
                                <w:rFonts w:eastAsia="Arial" w:cs="Arial" w:ascii="Arial" w:hAnsi="Arial"/>
                                <w:b/>
                                <w:color w:val="000000"/>
                                <w:u w:val="single"/>
                              </w:rPr>
                              <w:t xml:space="preserve">MEMORIA CIENTÍFICO-TÉCNICA PROYECTOS COORDINADOS </w:t>
                            </w:r>
                          </w:p>
                          <w:p>
                            <w:pPr>
                              <w:pStyle w:val="Normal"/>
                              <w:spacing w:lineRule="auto" w:line="240" w:before="0" w:after="0"/>
                              <w:jc w:val="both"/>
                              <w:rPr/>
                            </w:pPr>
                            <w:r>
                              <w:rPr>
                                <w:rFonts w:eastAsia="Arial" w:cs="Arial" w:ascii="Arial" w:hAnsi="Arial"/>
                                <w:b/>
                                <w:color w:val="000000"/>
                              </w:rPr>
                              <w:t>Convocatoria 2025 - «Proyectos de Generación de Conocimiento» y actuaciones para la formación de personal investigador predoctoral asociadas a dichos proyectos.</w:t>
                            </w:r>
                          </w:p>
                        </w:txbxContent>
                      </v:textbox>
                      <w10:wrap type="topAndBottom"/>
                    </v:rect>
                  </v:group>
                </v:group>
              </v:group>
            </w:pict>
          </mc:Fallback>
        </mc:AlternateContent>
      </w:r>
      <w:r>
        <w:rPr>
          <w:rFonts w:eastAsia="Arial" w:cs="Arial" w:ascii="Arial" w:hAnsi="Arial"/>
        </w:rPr>
        <w:t xml:space="preserve"> </w:t>
      </w:r>
    </w:p>
    <w:p>
      <w:pPr>
        <w:pStyle w:val="Heading1"/>
        <w:numPr>
          <w:ilvl w:val="0"/>
          <w:numId w:val="1"/>
        </w:numPr>
        <w:spacing w:lineRule="auto" w:line="240" w:before="0" w:after="0"/>
        <w:ind w:hanging="426" w:left="426"/>
        <w:jc w:val="both"/>
        <w:rPr>
          <w:rFonts w:ascii="Arial" w:hAnsi="Arial" w:eastAsia="Arial" w:cs="Arial"/>
          <w:b/>
          <w:bCs/>
          <w:color w:val="000000"/>
          <w:sz w:val="22"/>
          <w:szCs w:val="22"/>
        </w:rPr>
      </w:pPr>
      <w:r>
        <w:rPr>
          <w:rFonts w:eastAsia="Arial" w:cs="Arial" w:ascii="Arial" w:hAnsi="Arial"/>
          <w:b/>
          <w:bCs/>
          <w:color w:val="000000"/>
          <w:sz w:val="22"/>
          <w:szCs w:val="22"/>
        </w:rPr>
        <w:t>DATOS DEL PROYECTO - PROPOSAL DATA</w:t>
      </w:r>
    </w:p>
    <w:p>
      <w:pPr>
        <w:pStyle w:val="Normal"/>
        <w:pBdr>
          <w:top w:val="single" w:sz="4" w:space="1" w:color="000000"/>
          <w:left w:val="single" w:sz="4" w:space="4" w:color="000000"/>
          <w:bottom w:val="single" w:sz="4" w:space="1" w:color="000000"/>
          <w:right w:val="single" w:sz="4" w:space="4" w:color="000000"/>
        </w:pBdr>
        <w:spacing w:lineRule="auto" w:line="240" w:before="0" w:after="0"/>
        <w:jc w:val="both"/>
        <w:rPr>
          <w:rFonts w:ascii="Times New Roman" w:hAnsi="Times New Roman" w:eastAsia="Times New Roman" w:cs="Times New Roman"/>
          <w:color w:val="000000"/>
        </w:rPr>
      </w:pPr>
      <w:r>
        <w:rPr>
          <w:rFonts w:eastAsia="Arial" w:cs="Arial" w:ascii="Arial" w:hAnsi="Arial"/>
          <w:b/>
          <w:bCs/>
          <w:color w:val="000000"/>
        </w:rPr>
        <w:t xml:space="preserve">TÍTULO DEL PROYECTO COORDINADO (ACRÓNIMO): </w:t>
      </w:r>
      <w:r>
        <w:rPr>
          <w:rFonts w:eastAsia="Times New Roman" w:cs="Times New Roman" w:ascii="Times New Roman" w:hAnsi="Times New Roman"/>
        </w:rPr>
        <w:t>De hidrodinámica de electrones a superconductividad: Analizando el flujo cuántico en materiales con simetría rota (AQUASYM)</w:t>
      </w:r>
    </w:p>
    <w:p>
      <w:pPr>
        <w:pStyle w:val="Normal"/>
        <w:spacing w:lineRule="auto" w:line="240" w:before="0" w:after="0"/>
        <w:jc w:val="both"/>
        <w:rPr>
          <w:rFonts w:ascii="Arial" w:hAnsi="Arial" w:eastAsia="Arial" w:cs="Arial"/>
          <w:b/>
          <w:bCs/>
          <w:i/>
          <w:i/>
          <w:iCs/>
          <w:color w:val="000000"/>
          <w:sz w:val="16"/>
          <w:szCs w:val="16"/>
        </w:rPr>
      </w:pPr>
      <w:r>
        <w:rPr>
          <w:rFonts w:eastAsia="Arial" w:cs="Arial" w:ascii="Arial" w:hAnsi="Arial"/>
          <w:b/>
          <w:bCs/>
          <w:i/>
          <w:iCs/>
          <w:color w:val="000000"/>
          <w:sz w:val="16"/>
          <w:szCs w:val="16"/>
        </w:rPr>
      </w:r>
    </w:p>
    <w:p>
      <w:pPr>
        <w:pStyle w:val="Normal"/>
        <w:pBdr>
          <w:top w:val="single" w:sz="4" w:space="1" w:color="000000"/>
          <w:left w:val="single" w:sz="4" w:space="4" w:color="000000"/>
          <w:bottom w:val="single" w:sz="4" w:space="1" w:color="000000"/>
          <w:right w:val="single" w:sz="4" w:space="4" w:color="000000"/>
        </w:pBdr>
        <w:spacing w:lineRule="auto" w:line="240" w:before="0" w:after="0"/>
        <w:jc w:val="both"/>
        <w:rPr>
          <w:rFonts w:ascii="Times New Roman" w:hAnsi="Times New Roman" w:eastAsia="Times New Roman" w:cs="Times New Roman"/>
          <w:color w:val="000000"/>
        </w:rPr>
      </w:pPr>
      <w:r>
        <w:rPr>
          <w:rFonts w:eastAsia="Arial" w:cs="Arial" w:ascii="Arial" w:hAnsi="Arial"/>
          <w:b/>
          <w:bCs/>
          <w:color w:val="000000"/>
        </w:rPr>
        <w:t xml:space="preserve">TITLE OF THE COORDINATED PROJECT (ACRONYM): </w:t>
      </w:r>
      <w:r>
        <w:rPr>
          <w:rFonts w:eastAsia="Times New Roman" w:cs="Times New Roman" w:ascii="Times New Roman" w:hAnsi="Times New Roman"/>
        </w:rPr>
        <w:t>From electron hydrodynamics to superconductivity: Analyzing quantum flow in broken-symmetry materials  (AQUASYM)</w:t>
      </w:r>
    </w:p>
    <w:p>
      <w:pPr>
        <w:pStyle w:val="Normal"/>
        <w:spacing w:lineRule="auto" w:line="240" w:before="0" w:after="0"/>
        <w:jc w:val="both"/>
        <w:rPr>
          <w:rFonts w:ascii="Arial" w:hAnsi="Arial" w:eastAsia="Arial" w:cs="Arial"/>
          <w:b/>
          <w:bCs/>
          <w:i/>
          <w:i/>
          <w:iCs/>
          <w:color w:val="000000"/>
        </w:rPr>
      </w:pPr>
      <w:r>
        <w:rPr>
          <w:rFonts w:eastAsia="Arial" w:cs="Arial" w:ascii="Arial" w:hAnsi="Arial"/>
          <w:b/>
          <w:bCs/>
          <w:i/>
          <w:iCs/>
          <w:color w:val="000000"/>
        </w:rPr>
      </w:r>
    </w:p>
    <w:p>
      <w:pPr>
        <w:pStyle w:val="Normal"/>
        <w:spacing w:lineRule="auto" w:line="240" w:before="0" w:after="0"/>
        <w:jc w:val="both"/>
        <w:rPr>
          <w:rFonts w:ascii="Times New Roman" w:hAnsi="Times New Roman" w:eastAsia="Times New Roman" w:cs="Times New Roman"/>
          <w:b/>
          <w:bCs/>
          <w:i/>
          <w:i/>
          <w:iCs/>
          <w:color w:val="000000"/>
        </w:rPr>
      </w:pPr>
      <w:r>
        <w:rPr>
          <w:rFonts w:eastAsia="Times New Roman" w:cs="Times New Roman" w:ascii="Times New Roman" w:hAnsi="Times New Roman"/>
          <w:b/>
          <w:bCs/>
          <w:i/>
          <w:iCs/>
          <w:color w:val="000000"/>
        </w:rPr>
        <w:t>DATOS DE LOS SUBPROYECTOS  - SUBPROJECTS DATA</w:t>
      </w:r>
    </w:p>
    <w:p>
      <w:pPr>
        <w:pStyle w:val="Normal"/>
        <w:spacing w:lineRule="auto" w:line="240" w:before="0" w:after="0"/>
        <w:jc w:val="both"/>
        <w:rPr>
          <w:rFonts w:ascii="Times New Roman" w:hAnsi="Times New Roman" w:eastAsia="Times New Roman" w:cs="Times New Roman"/>
          <w:b/>
          <w:bCs/>
          <w:i/>
          <w:i/>
          <w:iCs/>
          <w:color w:val="000000"/>
        </w:rPr>
      </w:pPr>
      <w:r>
        <w:rPr>
          <w:rFonts w:eastAsia="Times New Roman" w:cs="Times New Roman" w:ascii="Times New Roman" w:hAnsi="Times New Roman"/>
          <w:b/>
          <w:bCs/>
          <w:i/>
          <w:iCs/>
          <w:color w:val="000000"/>
        </w:rPr>
      </w:r>
    </w:p>
    <w:p>
      <w:pPr>
        <w:pStyle w:val="Normal"/>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u w:val="single"/>
        </w:rPr>
        <w:t>SUBPROYECTO 1</w:t>
      </w:r>
      <w:r>
        <w:rPr>
          <w:rFonts w:eastAsia="Times New Roman" w:cs="Times New Roman" w:ascii="Times New Roman" w:hAnsi="Times New Roman"/>
          <w:b/>
          <w:bCs/>
          <w:color w:val="000000"/>
        </w:rPr>
        <w:t>:</w:t>
      </w:r>
    </w:p>
    <w:p>
      <w:pPr>
        <w:pStyle w:val="Normal"/>
        <w:spacing w:lineRule="auto" w:line="240" w:before="0" w:after="0"/>
        <w:jc w:val="both"/>
        <w:rPr>
          <w:rFonts w:ascii="Times New Roman" w:hAnsi="Times New Roman" w:eastAsia="Times New Roman" w:cs="Times New Roman"/>
          <w:color w:val="000000"/>
        </w:rPr>
      </w:pPr>
      <w:r>
        <w:rPr>
          <w:rFonts w:eastAsia="Times New Roman" w:cs="Times New Roman" w:ascii="Times New Roman" w:hAnsi="Times New Roman"/>
          <w:b/>
          <w:bCs/>
          <w:color w:val="000000"/>
        </w:rPr>
        <w:t xml:space="preserve">IP 1 COORDINADOR/A 1: </w:t>
      </w:r>
      <w:r>
        <w:rPr>
          <w:rFonts w:eastAsia="Times New Roman" w:cs="Times New Roman" w:ascii="Times New Roman" w:hAnsi="Times New Roman"/>
          <w:color w:val="000000"/>
        </w:rPr>
        <w:t>Francisco Dom</w:t>
      </w:r>
      <w:r>
        <w:rPr>
          <w:rFonts w:eastAsia="Times New Roman" w:cs="Times New Roman" w:ascii="Times New Roman" w:hAnsi="Times New Roman"/>
        </w:rPr>
        <w:t>ínguez-Adame Acosta</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color w:val="000000"/>
        </w:rPr>
        <w:t xml:space="preserve">IP 2 COORDINADOR/A 2: </w:t>
      </w:r>
      <w:r>
        <w:rPr>
          <w:rFonts w:eastAsia="Times New Roman" w:cs="Times New Roman" w:ascii="Times New Roman" w:hAnsi="Times New Roman"/>
          <w:color w:val="000000"/>
        </w:rPr>
        <w:t>L</w:t>
      </w:r>
      <w:r>
        <w:rPr>
          <w:rFonts w:eastAsia="Times New Roman" w:cs="Times New Roman" w:ascii="Times New Roman" w:hAnsi="Times New Roman"/>
        </w:rPr>
        <w:t>eonor Chico Gómez</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color w:val="000000"/>
        </w:rPr>
      </w:pPr>
      <w:r>
        <w:rPr>
          <w:rFonts w:eastAsia="Times New Roman" w:cs="Times New Roman" w:ascii="Times New Roman" w:hAnsi="Times New Roman"/>
          <w:b/>
          <w:bCs/>
          <w:color w:val="000000"/>
        </w:rPr>
        <w:t xml:space="preserve">TÍTULO - </w:t>
      </w:r>
      <w:r>
        <w:rPr>
          <w:rFonts w:eastAsia="Times New Roman" w:cs="Times New Roman" w:ascii="Times New Roman" w:hAnsi="Times New Roman"/>
          <w:b/>
          <w:bCs/>
          <w:i/>
          <w:iCs/>
          <w:color w:val="000000"/>
        </w:rPr>
        <w:t>TITLE</w:t>
      </w:r>
      <w:r>
        <w:rPr>
          <w:rFonts w:eastAsia="Times New Roman" w:cs="Times New Roman" w:ascii="Times New Roman" w:hAnsi="Times New Roman"/>
          <w:b/>
          <w:bCs/>
          <w:color w:val="000000"/>
        </w:rPr>
        <w:t xml:space="preserve">: </w:t>
      </w:r>
      <w:r>
        <w:rPr>
          <w:rFonts w:eastAsia="Times New Roman" w:cs="Times New Roman" w:ascii="Times New Roman" w:hAnsi="Times New Roman"/>
        </w:rPr>
        <w:t>De hidrodinámica de electrones a superconductividad: Estudio teórico del flujo cuántico en materiales con simetría rota - From electron hydrodynamics to superconductivity: Theoretical study of quantum flow in broken-symmetry materials</w:t>
      </w:r>
    </w:p>
    <w:p>
      <w:pPr>
        <w:pStyle w:val="Normal"/>
        <w:spacing w:lineRule="auto" w:line="240" w:before="0" w:after="0"/>
        <w:jc w:val="both"/>
        <w:rPr>
          <w:rFonts w:ascii="Times New Roman" w:hAnsi="Times New Roman" w:eastAsia="Times New Roman" w:cs="Times New Roman"/>
          <w:color w:val="000000"/>
        </w:rPr>
      </w:pPr>
      <w:r>
        <w:rPr>
          <w:rFonts w:eastAsia="Times New Roman" w:cs="Times New Roman" w:ascii="Times New Roman" w:hAnsi="Times New Roman"/>
          <w:color w:val="000000"/>
        </w:rPr>
      </w:r>
    </w:p>
    <w:p>
      <w:pPr>
        <w:pStyle w:val="Normal"/>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u w:val="single"/>
        </w:rPr>
        <w:t>SUBPROYECTO 2</w:t>
      </w:r>
      <w:r>
        <w:rPr>
          <w:rFonts w:eastAsia="Times New Roman" w:cs="Times New Roman" w:ascii="Times New Roman" w:hAnsi="Times New Roman"/>
          <w:b/>
          <w:bCs/>
          <w:color w:val="000000"/>
        </w:rPr>
        <w:t>:</w:t>
      </w:r>
    </w:p>
    <w:p>
      <w:pPr>
        <w:pStyle w:val="Normal"/>
        <w:spacing w:lineRule="auto" w:line="240" w:before="0" w:after="0"/>
        <w:jc w:val="both"/>
        <w:rPr>
          <w:rFonts w:ascii="Times New Roman" w:hAnsi="Times New Roman" w:eastAsia="Times New Roman" w:cs="Times New Roman"/>
          <w:color w:val="000000"/>
        </w:rPr>
      </w:pPr>
      <w:r>
        <w:rPr>
          <w:rFonts w:eastAsia="Times New Roman" w:cs="Times New Roman" w:ascii="Times New Roman" w:hAnsi="Times New Roman"/>
          <w:b/>
          <w:bCs/>
          <w:color w:val="000000"/>
        </w:rPr>
        <w:t xml:space="preserve">IP 1: </w:t>
      </w:r>
      <w:r>
        <w:rPr>
          <w:rFonts w:eastAsia="Times New Roman" w:cs="Times New Roman" w:ascii="Times New Roman" w:hAnsi="Times New Roman"/>
          <w:color w:val="000000"/>
        </w:rPr>
        <w:t>Enrique Diez Fern</w:t>
      </w:r>
      <w:r>
        <w:rPr>
          <w:rFonts w:eastAsia="Times New Roman" w:cs="Times New Roman" w:ascii="Times New Roman" w:hAnsi="Times New Roman"/>
        </w:rPr>
        <w:t>ández</w:t>
      </w:r>
    </w:p>
    <w:p>
      <w:pPr>
        <w:pStyle w:val="Normal"/>
        <w:spacing w:lineRule="auto" w:line="240" w:before="0" w:after="0"/>
        <w:jc w:val="both"/>
        <w:rPr>
          <w:rFonts w:ascii="Times New Roman" w:hAnsi="Times New Roman" w:eastAsia="Times New Roman" w:cs="Times New Roman"/>
          <w:color w:val="000000"/>
        </w:rPr>
      </w:pPr>
      <w:r>
        <w:rPr>
          <w:rFonts w:eastAsia="Times New Roman" w:cs="Times New Roman" w:ascii="Times New Roman" w:hAnsi="Times New Roman"/>
          <w:b/>
          <w:bCs/>
          <w:color w:val="000000"/>
        </w:rPr>
        <w:t xml:space="preserve">IP 2: </w:t>
      </w:r>
      <w:r>
        <w:rPr>
          <w:rFonts w:eastAsia="Times New Roman" w:cs="Times New Roman" w:ascii="Times New Roman" w:hAnsi="Times New Roman"/>
          <w:color w:val="000000"/>
        </w:rPr>
        <w:t>Mario Amado Montero</w:t>
      </w:r>
    </w:p>
    <w:p>
      <w:pPr>
        <w:pStyle w:val="Normal"/>
        <w:spacing w:lineRule="auto" w:line="240" w:before="0" w:after="0"/>
        <w:jc w:val="both"/>
        <w:rPr>
          <w:rFonts w:ascii="Times New Roman" w:hAnsi="Times New Roman" w:eastAsia="Times New Roman" w:cs="Times New Roman"/>
          <w:color w:val="000000"/>
        </w:rPr>
      </w:pPr>
      <w:r>
        <w:rPr>
          <w:rFonts w:eastAsia="Times New Roman" w:cs="Times New Roman" w:ascii="Times New Roman" w:hAnsi="Times New Roman"/>
          <w:b/>
          <w:bCs/>
          <w:color w:val="000000"/>
        </w:rPr>
        <w:t xml:space="preserve">TÍTULO - </w:t>
      </w:r>
      <w:r>
        <w:rPr>
          <w:rFonts w:eastAsia="Times New Roman" w:cs="Times New Roman" w:ascii="Times New Roman" w:hAnsi="Times New Roman"/>
          <w:b/>
          <w:bCs/>
          <w:i/>
          <w:iCs/>
          <w:color w:val="000000"/>
        </w:rPr>
        <w:t>TITLE</w:t>
      </w:r>
      <w:r>
        <w:rPr>
          <w:rFonts w:eastAsia="Times New Roman" w:cs="Times New Roman" w:ascii="Times New Roman" w:hAnsi="Times New Roman"/>
          <w:b/>
          <w:bCs/>
          <w:color w:val="000000"/>
        </w:rPr>
        <w:t xml:space="preserve">: </w:t>
      </w:r>
      <w:r>
        <w:rPr>
          <w:rFonts w:eastAsia="Times New Roman" w:cs="Times New Roman" w:ascii="Times New Roman" w:hAnsi="Times New Roman"/>
        </w:rPr>
        <w:t>De hidrodinámica de electrones a superconductividad: Estudio experimental del flujo cuántico en materiales con simetría rota - From electron hydrodynamics to superconductivity: Experimental study of quantum flow in broken-symmetry materials</w:t>
      </w:r>
    </w:p>
    <w:p>
      <w:pPr>
        <w:pStyle w:val="Normal"/>
        <w:spacing w:lineRule="auto" w:line="240" w:before="0" w:after="0"/>
        <w:jc w:val="both"/>
        <w:rPr>
          <w:rFonts w:ascii="Times New Roman" w:hAnsi="Times New Roman" w:eastAsia="Times New Roman" w:cs="Times New Roman"/>
          <w:color w:val="000000"/>
        </w:rPr>
      </w:pPr>
      <w:r>
        <w:rPr>
          <w:rFonts w:eastAsia="Times New Roman" w:cs="Times New Roman" w:ascii="Times New Roman" w:hAnsi="Times New Roman"/>
          <w:color w:val="000000"/>
        </w:rPr>
      </w:r>
    </w:p>
    <w:p>
      <w:pPr>
        <w:pStyle w:val="Heading1"/>
        <w:numPr>
          <w:ilvl w:val="0"/>
          <w:numId w:val="1"/>
        </w:numPr>
        <w:spacing w:lineRule="auto" w:line="240" w:before="0" w:after="0"/>
        <w:ind w:hanging="426" w:left="426"/>
        <w:jc w:val="both"/>
        <w:rPr>
          <w:rFonts w:ascii="Times New Roman" w:hAnsi="Times New Roman" w:eastAsia="Times New Roman" w:cs="Times New Roman"/>
          <w:b/>
          <w:bCs/>
          <w:color w:val="000000"/>
          <w:sz w:val="22"/>
          <w:szCs w:val="22"/>
        </w:rPr>
      </w:pPr>
      <w:r>
        <w:rPr>
          <w:rFonts w:eastAsia="Times New Roman" w:cs="Times New Roman" w:ascii="Times New Roman" w:hAnsi="Times New Roman"/>
          <w:b/>
          <w:bCs/>
          <w:color w:val="000000"/>
          <w:sz w:val="22"/>
          <w:szCs w:val="22"/>
        </w:rPr>
        <w:t xml:space="preserve"> </w:t>
      </w:r>
      <w:r>
        <w:rPr>
          <w:rFonts w:eastAsia="Times New Roman" w:cs="Times New Roman" w:ascii="Times New Roman" w:hAnsi="Times New Roman"/>
          <w:b/>
          <w:bCs/>
          <w:color w:val="000000"/>
          <w:sz w:val="22"/>
          <w:szCs w:val="22"/>
        </w:rPr>
        <w:t>JUSTIFICATION AND CONTRIBUTION OF COORDINATION.</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The </w:t>
      </w:r>
      <w:r>
        <w:rPr>
          <w:rFonts w:eastAsia="Times New Roman" w:cs="Times New Roman" w:ascii="Times New Roman" w:hAnsi="Times New Roman"/>
          <w:b/>
          <w:bCs/>
        </w:rPr>
        <w:t>AQUASYM</w:t>
      </w:r>
      <w:r>
        <w:rPr>
          <w:rFonts w:eastAsia="Times New Roman" w:cs="Times New Roman" w:ascii="Times New Roman" w:hAnsi="Times New Roman"/>
        </w:rPr>
        <w:t xml:space="preserve"> project will focus on the study of disruptive nanomaterials that can be symmetry-engineered and/or twisted, where emergent quantum phenomena manifest themselves through their unconventional charge and/or spin properties. Essential ingredients of the underlying physics are broken-symmetry, chirality and topology. The project includes both experimental and theoretical aspects, closely linked as we will describe here.</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A key requirement of our proposal, encompassing a range of disciplines, is to ensure that the two subprojects are closely interconnected, and thus directly complement each other and the strategic goals. As outlined in detail later in the proposal, we will mainly achieve this through (i) tight interaction among team members, (ii) the principal investigators (PIs), who are familiar with each other and known for their interdisciplinary approaches to research, (iii) a detailed training program aimed to ensure that the cohort of PhD students progresses as one unit, and (iv) an experienced and well-structured management.</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Our proposal benefits from the joint effort between different groups with complementary scientific profiles. These groups have a lengthy history of sustained and fruitful long-term collaboration. In recent years, the Quantum Nanosystems Group (QNG, </w:t>
      </w:r>
      <w:hyperlink r:id="rId2">
        <w:r>
          <w:rPr>
            <w:rStyle w:val="Style3"/>
            <w:rFonts w:eastAsia="Times New Roman" w:cs="Times New Roman" w:ascii="Times New Roman" w:hAnsi="Times New Roman"/>
            <w:color w:val="1155CC"/>
            <w:u w:val="single"/>
          </w:rPr>
          <w:t>www.qng.es</w:t>
        </w:r>
      </w:hyperlink>
      <w:r>
        <w:rPr>
          <w:rFonts w:eastAsia="Times New Roman" w:cs="Times New Roman" w:ascii="Times New Roman" w:hAnsi="Times New Roman"/>
        </w:rPr>
        <w:t xml:space="preserve">) of the Universidad Complutense de Madrid (UCM), in collaboration with Instituto de Estructura de la Materia from CSIC (IEM, </w:t>
      </w:r>
      <w:hyperlink r:id="rId3">
        <w:r>
          <w:rPr>
            <w:rStyle w:val="Style3"/>
            <w:rFonts w:eastAsia="Times New Roman" w:cs="Times New Roman" w:ascii="Times New Roman" w:hAnsi="Times New Roman"/>
            <w:color w:val="1155CC"/>
            <w:u w:val="single"/>
          </w:rPr>
          <w:t>www.iem.csic.es</w:t>
        </w:r>
      </w:hyperlink>
      <w:r>
        <w:rPr>
          <w:rFonts w:eastAsia="Times New Roman" w:cs="Times New Roman" w:ascii="Times New Roman" w:hAnsi="Times New Roman"/>
        </w:rPr>
        <w:t>) and Universidad de Castilla-La Mancha (UCLM),</w:t>
      </w:r>
      <w:r>
        <w:rPr>
          <w:rFonts w:eastAsia="Arial" w:cs="Arial" w:ascii="Arial" w:hAnsi="Arial"/>
        </w:rPr>
        <w:t xml:space="preserve"> </w:t>
      </w:r>
      <w:r>
        <w:rPr>
          <w:rFonts w:eastAsia="Times New Roman" w:cs="Times New Roman" w:ascii="Times New Roman" w:hAnsi="Times New Roman"/>
        </w:rPr>
        <w:t xml:space="preserve">have made proposals for the development of nanodevices (transistors, resonant spin filters and electronic oscillators among others) based on novel materials. However, models and subsequent simulations need experimental verification to improve them. This is where the justification for collaboration with the Nanotechnology and Quantum Materials Group (NANOTECH, </w:t>
      </w:r>
      <w:hyperlink r:id="rId4">
        <w:r>
          <w:rPr>
            <w:rStyle w:val="Style3"/>
            <w:rFonts w:eastAsia="Times New Roman" w:cs="Times New Roman" w:ascii="Times New Roman" w:hAnsi="Times New Roman"/>
            <w:color w:val="1155CC"/>
            <w:u w:val="single"/>
          </w:rPr>
          <w:t>nanotech.usal.es</w:t>
        </w:r>
      </w:hyperlink>
      <w:r>
        <w:rPr>
          <w:rFonts w:eastAsia="Times New Roman" w:cs="Times New Roman" w:ascii="Times New Roman" w:hAnsi="Times New Roman"/>
        </w:rPr>
        <w:t>) of the Universidad de Salamanca (USAL) becomes essential. The group members have experience and resources to experimentally manufacture and characterize the nanodevices discussed in this proposal. In addition to their own resources, such as a fully equipped Clean Room, they maintain close collaboration with other international laboratories, such as McGill University (MGU) at Montreal, University of New South Wales (Sydney), European Magnetic Field Laboratory (Nijmegen, Toulouse and Grenoble), Iberian Nanotechnology Laboratory (Braga, Portugal), Pavia (Italy) and Cambridge (United Kingdom) Universities. We detail below the strengths of the research teams.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Subproject 1</w:t>
      </w:r>
      <w:r>
        <w:rPr>
          <w:rFonts w:eastAsia="Times New Roman" w:cs="Times New Roman" w:ascii="Times New Roman" w:hAnsi="Times New Roman"/>
        </w:rPr>
        <w:t xml:space="preserve"> (UCM+IEM+UCLM): The team members have an excellent qualification in the design and modeling of nanostructures based on compound semiconductors, graphene and related materials such as silicene, transition metal dichalcogenides (TMDs) and topological matter. Their strength relies on the ability to address problems using semi-empirical approximations and continuous models. Furthermore, PI1 of subproject 1 (SP1) (Francisco Domínguez-Adame) has training in experimental material physics after completing his PhD Thesis, facilitating the collaborations with subproject 2 (SP2). He is co-supervising the PhD Thesis of Dunkan Martínez (4th year of doctorate at UCM) with Pedro Orellana (Universidad Técnica Federico Santa María, Chile) and Pedro Alcázar (4th year of doctorate at UCM) with Jorge Quereda (ICMM, CSIC). PI2 of SP1 (Leonor Chico) has a strong background in modeling of transport properties of complex materials by way of phenomenological models and </w:t>
      </w:r>
      <w:r>
        <w:rPr>
          <w:rFonts w:eastAsia="Times New Roman" w:cs="Times New Roman" w:ascii="Times New Roman" w:hAnsi="Times New Roman"/>
          <w:i/>
          <w:iCs/>
        </w:rPr>
        <w:t>ab-initio</w:t>
      </w:r>
      <w:r>
        <w:rPr>
          <w:rFonts w:eastAsia="Times New Roman" w:cs="Times New Roman" w:ascii="Times New Roman" w:hAnsi="Times New Roman"/>
        </w:rPr>
        <w:t xml:space="preserve"> calculations. She is co-supervising the PhD Thesis of Pablo Moles (4th year of doctorate at UCM) with PI1 of SP1 and the PhD thesis of Lucas L. Lage with Andrea Latgé (Universidade Federal Fluminense, Brazil). Elena Díaz is expert in large-scale numerical simulations of transport and optical properties of organic and inorganic materials. She is co-supervising the PhD Thesis of Jorge Estrada (4th year of doctorate at UCM) with PI1. Rafael Molina has a long career in the study of quantum transport in nanoscale materials. He is co-supervising the PhD Thesis of Marta García (3rd year of doctorate at USAL) jointly with PI2 of SP2. Andrey Malyshev is an expert in the study of collective electron dynamics (plasmons), light-matter interactions and nonlinear physics. Armando Relaño will contribute with the analysis of many-body physics of excited states in two- dimensional (2D) systems. Hernán Santos, former PhD student of the IP2 of SP1, has recently joined the UCLM as a Tenured Professor. He is an expert in charge and energy transport and in </w:t>
      </w:r>
      <w:r>
        <w:rPr>
          <w:rFonts w:eastAsia="Times New Roman" w:cs="Times New Roman" w:ascii="Times New Roman" w:hAnsi="Times New Roman"/>
          <w:i/>
          <w:iCs/>
        </w:rPr>
        <w:t>ab-initio</w:t>
      </w:r>
      <w:r>
        <w:rPr>
          <w:rFonts w:eastAsia="Times New Roman" w:cs="Times New Roman" w:ascii="Times New Roman" w:hAnsi="Times New Roman"/>
        </w:rPr>
        <w:t xml:space="preserve"> calculations. Rodrigo Lima, former </w:t>
      </w:r>
      <w:r>
        <w:rPr>
          <w:rFonts w:eastAsia="Times New Roman" w:cs="Times New Roman" w:ascii="Times New Roman" w:hAnsi="Times New Roman"/>
          <w:i/>
          <w:iCs/>
        </w:rPr>
        <w:t>Juan de la Cierva</w:t>
      </w:r>
      <w:r>
        <w:rPr>
          <w:rFonts w:eastAsia="Times New Roman" w:cs="Times New Roman" w:ascii="Times New Roman" w:hAnsi="Times New Roman"/>
        </w:rPr>
        <w:t xml:space="preserve"> researcher and later </w:t>
      </w:r>
      <w:r>
        <w:rPr>
          <w:rFonts w:eastAsia="Times New Roman" w:cs="Times New Roman" w:ascii="Times New Roman" w:hAnsi="Times New Roman"/>
          <w:i/>
          <w:iCs/>
        </w:rPr>
        <w:t>María Zambrano</w:t>
      </w:r>
      <w:r>
        <w:rPr>
          <w:rFonts w:eastAsia="Times New Roman" w:cs="Times New Roman" w:ascii="Times New Roman" w:hAnsi="Times New Roman"/>
        </w:rPr>
        <w:t xml:space="preserve"> researcher both at UCM, has recently joined the UCLM as a </w:t>
      </w:r>
      <w:r>
        <w:rPr>
          <w:rFonts w:eastAsia="Times New Roman" w:cs="Times New Roman" w:ascii="Times New Roman" w:hAnsi="Times New Roman"/>
          <w:i/>
          <w:iCs/>
        </w:rPr>
        <w:t>Beatriz Galindo</w:t>
      </w:r>
      <w:r>
        <w:rPr>
          <w:rFonts w:eastAsia="Times New Roman" w:cs="Times New Roman" w:ascii="Times New Roman" w:hAnsi="Times New Roman"/>
        </w:rPr>
        <w:t xml:space="preserve"> researcher. He is an expert in large scale simulations of transport properties of materials. Yuriko Baba has recently been appointed as a permanent staff (M3 Researcher) at IEM. She is an expert in quantum dynamics of topological matter under time-dependent fields and modeling of transport properties of superconductors.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In summary, the senior members of the UCM+IEM+UCLM team are Francisco Domínguez- Adame (UCM, Full Professor), Leonor Chico (UCM, Full Professor), Elena Díaz (UCM, Full Professor), Rafael A. Molina (IEM, Research Scientist), Hernán Santos (UCLM, Tenured Professor), Andrey V. Malyshev (UCM, Associate Professor), Armando Relaño (UCM, Associate Professor), Rodrigo Lima (UCLM, </w:t>
      </w:r>
      <w:r>
        <w:rPr>
          <w:rFonts w:eastAsia="Times New Roman" w:cs="Times New Roman" w:ascii="Times New Roman" w:hAnsi="Times New Roman"/>
          <w:i/>
          <w:iCs/>
        </w:rPr>
        <w:t>Beatriz Galindo</w:t>
      </w:r>
      <w:r>
        <w:rPr>
          <w:rFonts w:eastAsia="Times New Roman" w:cs="Times New Roman" w:ascii="Times New Roman" w:hAnsi="Times New Roman"/>
        </w:rPr>
        <w:t xml:space="preserve"> researcher) and Yuriko Baba (IEM, M3 Researcher).</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The need for two PIs in SP1 stems from the extensive number of materials and phenomena that will be addressed in the programme. In fact, the expertise of both PIs is complementary. On one side, PI1 will be in charge of those objectives that are heavily based on continuous model and analytical approaches. On the other side, PI2 will be involved in the objectives where large-scale numerical calculations (tight-binding and </w:t>
      </w:r>
      <w:r>
        <w:rPr>
          <w:rFonts w:eastAsia="Times New Roman" w:cs="Times New Roman" w:ascii="Times New Roman" w:hAnsi="Times New Roman"/>
          <w:i/>
          <w:iCs/>
        </w:rPr>
        <w:t>ab-initio</w:t>
      </w:r>
      <w:r>
        <w:rPr>
          <w:rFonts w:eastAsia="Times New Roman" w:cs="Times New Roman" w:ascii="Times New Roman" w:hAnsi="Times New Roman"/>
        </w:rPr>
        <w:t>) are required to accomplish the tasks. In addition, the presence of numerous senior members and PhD students further justifies this division of supervisory roles.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Subproject 2</w:t>
      </w:r>
      <w:r>
        <w:rPr>
          <w:rFonts w:eastAsia="Times New Roman" w:cs="Times New Roman" w:ascii="Times New Roman" w:hAnsi="Times New Roman"/>
        </w:rPr>
        <w:t xml:space="preserve"> (USAL): The SP2 team combines exceptional experimental and theoretical expertise in exotic quantum phenomena and nonlinear physics in nanodevices, focusing on 2D materials. PI1, Enrique Díez, Head of the NANOTECH group, established most of its</w:t>
      </w:r>
      <w:r>
        <w:rPr>
          <w:rFonts w:eastAsia="Arial" w:cs="Arial" w:ascii="Arial" w:hAnsi="Arial"/>
        </w:rPr>
        <w:t xml:space="preserve"> </w:t>
      </w:r>
      <w:r>
        <w:rPr>
          <w:rFonts w:eastAsia="Times New Roman" w:cs="Times New Roman" w:ascii="Times New Roman" w:hAnsi="Times New Roman"/>
        </w:rPr>
        <w:t>infrastructure (Clean Room, Low-Temperature Lab) and will coordinate the team, leading all experimental tasks. His experience in nanodevice design, fabrication, and characterization, combined with a strong theoretical background, ensures deep insight into modeling and interpreting device behavior. PI2, Mario Amado, brings extensive experience in graphene- based heterostructures and topological superconducting systems, gained at NEST-SNS (Pisa) and the University of Cambridge. His research stay at McGill University also provided expertise in Raman spectroscopy of 2D materials, key for this project. He is co-supervising the PhD Thesis of Marta García (3rd year of doctorate at USAL) with Rafael Molina (IEM, SP1) and supervising the PhD Thesis of Pablo Canteli (1st year of doctorate at USAL)  The team’s complementary skills span fabrication, characterization, and theory. Pilar García is an expert in quantum transport in 2D nanodevices and will coordinate closely with SP1. She has extensive experience in nonlinear physics and in the use of mathematical physics tools to address complex condensed-matter problems. In previous projects, her collaboration with SP1 has been essential for providing a deeper understanding of our results. Ana Pérez specializes in optoelectronic and SPM-based electrical characterization and previously led a regional project on 2D materials for solar cells. She will oversee simultaneous SPM and transport measurements and the implementation of an AFM-based graphene/hBN ironing technique to improve sample quality. Vito Clericò, Head of the USAL Clean Room, developed the graphene Cryo-Etching method and now manages all fabrication activities. Marta García (PhD student) focuses on theoretical modeling of semi-Dirac and Weyl materials, supporting WP2 and WP3. Pablo Canteli (PhD student) will handle device fabrication and magneto- transport measurements in graphene heterostructures, and Javier Gil contributes his experience in DUV lithography and e-beam evaporation. The team collaborates with Michael Hilke, Samuel Huberman, and Nicolas Delnour (McGill University, Canada), leading experts in phonon hydrodynamics, to study nanoscale Raman effects and phonon transport in 2D materials.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To summarize, the senior members of the USAL team are: Enrique Diez (Full Professor), Mario Amado (Tenured Professor), Pilar García (Full Professor), Vito Clericò (Head of the Clean Room Staff) and Ana Pérez (Marie Curie CoFund USAL4EXCELLENCE Fellow).</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The appointment of two PIs is justified by the number of senior researchers involved in SP2 and the diversity of materials, experimental methods, and theoretical analyses required. Both PIs possess strong theoretical backgrounds combined with deep experimental expertise, which together are essential for the successful execution of the project. Given the extensive use of the Clean Room facilities and low-temperature setups, the close collaboration between both PIs is fundamental to ensuring the success of the project.</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Heading1"/>
        <w:numPr>
          <w:ilvl w:val="0"/>
          <w:numId w:val="1"/>
        </w:numPr>
        <w:spacing w:lineRule="auto" w:line="240" w:before="0" w:after="0"/>
        <w:ind w:hanging="567" w:left="567"/>
        <w:jc w:val="both"/>
        <w:rPr>
          <w:rFonts w:ascii="Times New Roman" w:hAnsi="Times New Roman" w:eastAsia="Times New Roman" w:cs="Times New Roman"/>
          <w:b/>
          <w:bCs/>
          <w:color w:val="000000"/>
          <w:sz w:val="22"/>
          <w:szCs w:val="22"/>
        </w:rPr>
      </w:pPr>
      <w:r>
        <w:rPr>
          <w:rFonts w:eastAsia="Times New Roman" w:cs="Times New Roman" w:ascii="Times New Roman" w:hAnsi="Times New Roman"/>
          <w:b/>
          <w:bCs/>
          <w:color w:val="000000"/>
          <w:sz w:val="22"/>
          <w:szCs w:val="22"/>
        </w:rPr>
        <w:t>JUSTIFICATION AND NOVELTY OF THE PROPOSAL.</w:t>
      </w:r>
    </w:p>
    <w:p>
      <w:pPr>
        <w:pStyle w:val="Normal"/>
        <w:spacing w:lineRule="auto" w:line="240" w:before="0" w:after="0"/>
        <w:jc w:val="both"/>
        <w:rPr>
          <w:rFonts w:ascii="Times New Roman" w:hAnsi="Times New Roman" w:eastAsia="Times New Roman" w:cs="Times New Roman"/>
          <w:i/>
          <w:i/>
          <w:iCs/>
        </w:rPr>
      </w:pPr>
      <w:r>
        <w:rPr>
          <w:rFonts w:eastAsia="Times New Roman" w:cs="Times New Roman" w:ascii="Times New Roman" w:hAnsi="Times New Roman"/>
          <w:i/>
          <w:iCs/>
        </w:rPr>
      </w:r>
    </w:p>
    <w:p>
      <w:pPr>
        <w:pStyle w:val="Normal"/>
        <w:numPr>
          <w:ilvl w:val="1"/>
          <w:numId w:val="1"/>
        </w:numPr>
        <w:pBdr/>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rPr>
        <w:t>Adequacy of the proposal to the characteristics and purpose of the selected modality.</w:t>
      </w:r>
    </w:p>
    <w:p>
      <w:pPr>
        <w:pStyle w:val="Normal"/>
        <w:spacing w:lineRule="auto" w:line="240" w:before="0" w:after="0"/>
        <w:jc w:val="both"/>
        <w:rPr>
          <w:rFonts w:ascii="Times New Roman" w:hAnsi="Times New Roman" w:eastAsia="Times New Roman" w:cs="Times New Roman"/>
          <w:b/>
          <w:bCs/>
        </w:rPr>
      </w:pPr>
      <w:r>
        <w:rPr>
          <w:rFonts w:eastAsia="Times New Roman" w:cs="Times New Roman" w:ascii="Times New Roman" w:hAnsi="Times New Roman"/>
          <w:b/>
          <w:bCs/>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Why Investigación No Orientada?</w:t>
      </w:r>
      <w:r>
        <w:rPr>
          <w:rFonts w:eastAsia="Times New Roman" w:cs="Times New Roman" w:ascii="Times New Roman" w:hAnsi="Times New Roman"/>
        </w:rPr>
        <w:t xml:space="preserve"> Achieving a better understanding of the underlying physics of emergent quantum phenomena in advanced materials might be a priority to pave the way for novel quantum technologies that will be undertaken in the second quantum revolution. This would likely have an enormous impact on our society, although the nature of our research falls upon the earlier stages of any new technology. To be specific, according to the research the consortium has been carrying out in the last years, the following Technology Readiness Levels (TRLs) apply to our scientific work: TRL 1 (Basic principles observed), TRL 2 (Technology concept formulated) and TRL 3 (Experimental proof of concept), still far from TRL 9 (Actual system proven in operational environment). For this reason, we are rather confident that the proposal fits nicely into the characteristics and purpose of the modality </w:t>
      </w:r>
      <w:r>
        <w:rPr>
          <w:rFonts w:eastAsia="Times New Roman" w:cs="Times New Roman" w:ascii="Times New Roman" w:hAnsi="Times New Roman"/>
          <w:b/>
          <w:bCs/>
        </w:rPr>
        <w:t>Investigación No Orientada</w:t>
      </w:r>
      <w:r>
        <w:rPr>
          <w:rFonts w:eastAsia="Times New Roman" w:cs="Times New Roman" w:ascii="Times New Roman" w:hAnsi="Times New Roman"/>
        </w:rPr>
        <w:t>.</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numPr>
          <w:ilvl w:val="1"/>
          <w:numId w:val="1"/>
        </w:numPr>
        <w:pBdr/>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rPr>
        <w:t>Justification and expected contribution of the project to the generation of knowledge on the theme of the proposal. Starting hypothesis.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The discovery of qualitatively new phenomena at the quantum level involves the study of matter in a variety of flavors, such as broken-symmetry states, reduced dimensionality or nanostructured materials. The aim of this proposal is to analyze unusual ways of exploiting quantum effects in low-symmetry, symmetry-engineered as well as twisted materials. We will focus on different families of materials and nanostructures with great potential for future</w:t>
      </w:r>
      <w:r>
        <w:rPr>
          <w:rFonts w:eastAsia="Arial" w:cs="Arial" w:ascii="Arial" w:hAnsi="Arial"/>
        </w:rPr>
        <w:t xml:space="preserve"> </w:t>
      </w:r>
      <w:r>
        <w:rPr>
          <w:rFonts w:eastAsia="Times New Roman" w:cs="Times New Roman" w:ascii="Times New Roman" w:hAnsi="Times New Roman"/>
        </w:rPr>
        <w:t>quantum technologies thanks to their unconventional transport capabilities that emerge due to interactions between quantum quasiparticles. As an</w:t>
      </w:r>
      <w:r>
        <w:rPr>
          <w:rFonts w:eastAsia="Times New Roman" w:cs="Times New Roman" w:ascii="Times New Roman" w:hAnsi="Times New Roman"/>
          <w:b/>
          <w:bCs/>
        </w:rPr>
        <w:t xml:space="preserve"> initial hypothesis</w:t>
      </w:r>
      <w:r>
        <w:rPr>
          <w:rFonts w:eastAsia="Times New Roman" w:cs="Times New Roman" w:ascii="Times New Roman" w:hAnsi="Times New Roman"/>
        </w:rPr>
        <w:t xml:space="preserve">, we foresee that the study of the interplay between low dimensionality, restricted geometry, interactions and reduced symmetry will lead us to a better knowledge of how emergent quantum phenomena can be tailored at will. Besides their undoubted fundamental interest, our scientific advances can lead off the way for future breakthroughs in quantum technologies.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The project will be structured into four work packages (WPs), three of which are scientific in nature, while the fourth will focus on project management. We briefly outline the expected contributions to knowledge generation and the initial hypotheses for each scientific WP.</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WP1. Electron and phonon hydrodynamics in 2D materials</w:t>
      </w:r>
      <w:r>
        <w:rPr>
          <w:rFonts w:eastAsia="Times New Roman" w:cs="Times New Roman" w:ascii="Times New Roman" w:hAnsi="Times New Roman"/>
        </w:rPr>
        <w:tab/>
        <w:t xml:space="preserve"> </w:t>
        <w:tab/>
        <w:t xml:space="preserve"> </w:t>
        <w:tab/>
        <w:t xml:space="preserve"> </w:t>
        <w:tab/>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Gurzhi [GUR63]</w:t>
      </w:r>
      <w:r>
        <w:rPr>
          <w:rStyle w:val="FootnoteReference"/>
          <w:rFonts w:eastAsia="Times New Roman" w:cs="Times New Roman" w:ascii="Times New Roman" w:hAnsi="Times New Roman"/>
          <w:vertAlign w:val="superscript"/>
        </w:rPr>
        <w:footnoteReference w:id="2"/>
      </w:r>
      <w:r>
        <w:rPr>
          <w:rFonts w:eastAsia="Times New Roman" w:cs="Times New Roman" w:ascii="Times New Roman" w:hAnsi="Times New Roman"/>
        </w:rPr>
        <w:t xml:space="preserve"> predicted that for electrons to exhibit collective hydrodynamic motion, the conservation of total momentum within the electron fluid is essential. Despite extensive theoretical interest, experimental access to this hydrodynamic behavior remained limited for decades but has been very much sought after since </w:t>
      </w:r>
      <w:r>
        <w:rPr>
          <w:rFonts w:eastAsia="Times New Roman" w:cs="Times New Roman" w:ascii="Times New Roman" w:hAnsi="Times New Roman"/>
          <w:b/>
          <w:bCs/>
        </w:rPr>
        <w:t>enhanced conductivity and reduced dissipation in low dimensional materials would lead to more efficient thermal management</w:t>
      </w:r>
      <w:r>
        <w:rPr>
          <w:rFonts w:eastAsia="Times New Roman" w:cs="Times New Roman" w:ascii="Times New Roman" w:hAnsi="Times New Roman"/>
        </w:rPr>
        <w:t xml:space="preserve">. The landscape has shifted in recent years, thanks to the emergence of high-quality samples, such as graphene encapsulated in hexagonal boron nitride (hBN) heterostructures [POL20]. Our consortium has made significant progress regarding electron viscous flow in the last few years and has already proposed several devices to exploit this highly-correlated transport regime. The </w:t>
      </w:r>
      <w:r>
        <w:rPr>
          <w:rFonts w:eastAsia="Times New Roman" w:cs="Times New Roman" w:ascii="Times New Roman" w:hAnsi="Times New Roman"/>
          <w:b/>
          <w:bCs/>
        </w:rPr>
        <w:t>main hypothesis</w:t>
      </w:r>
      <w:r>
        <w:rPr>
          <w:rFonts w:eastAsia="Times New Roman" w:cs="Times New Roman" w:ascii="Times New Roman" w:hAnsi="Times New Roman"/>
        </w:rPr>
        <w:t xml:space="preserve"> is that specific geometries, such as antidot superlattices, are required to enhance viscous effects in electron transport. In this context, materials like graphene exhibit their full potential because the electron-electron mean free path can become the dominant microscopic length scale, and the material can be engineered at the nanoscale with high precision to bend electron trajectories, both of which are crucial for realizing viscous electronic flow that ultimately reduces the electrical resistance below the ballistic limit. In this project, we aim to determine the extent to which we can </w:t>
      </w:r>
      <w:r>
        <w:rPr>
          <w:rFonts w:eastAsia="Times New Roman" w:cs="Times New Roman" w:ascii="Times New Roman" w:hAnsi="Times New Roman"/>
          <w:b/>
          <w:bCs/>
        </w:rPr>
        <w:t>mitigate the ballistic electrical resistance using these nanodevices</w:t>
      </w:r>
      <w:r>
        <w:rPr>
          <w:rFonts w:eastAsia="Times New Roman" w:cs="Times New Roman" w:ascii="Times New Roman" w:hAnsi="Times New Roman"/>
        </w:rPr>
        <w:t>.</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Our study will also be extended to phonon hydrodynamics, in the context of our ongoing collaboration with researchers at MGU, where IP2 of SP2 was hosted for half a year in 2025 as a visiting professor. While we have learned that the fermionic behavior of electrons can be exploited to simplify the theoretical analysis, the bosonic nature of phonons poses significant challenges, not only from the theoretical side but also in the laboratory. Hence, the collaboration with the team at MGU</w:t>
      </w:r>
      <w:r>
        <w:rPr>
          <w:rFonts w:eastAsia="Times New Roman" w:cs="Times New Roman" w:ascii="Times New Roman" w:hAnsi="Times New Roman"/>
          <w:b/>
          <w:bCs/>
        </w:rPr>
        <w:t xml:space="preserve"> </w:t>
      </w:r>
      <w:r>
        <w:rPr>
          <w:rFonts w:eastAsia="Times New Roman" w:cs="Times New Roman" w:ascii="Times New Roman" w:hAnsi="Times New Roman"/>
        </w:rPr>
        <w:t>will be essential. In this project, we aim to</w:t>
      </w:r>
      <w:r>
        <w:rPr>
          <w:rFonts w:eastAsia="Times New Roman" w:cs="Times New Roman" w:ascii="Times New Roman" w:hAnsi="Times New Roman"/>
          <w:b/>
          <w:bCs/>
        </w:rPr>
        <w:t xml:space="preserve"> demonstrate that the geometry of the device will play an important role</w:t>
      </w:r>
      <w:r>
        <w:rPr>
          <w:rFonts w:eastAsia="Times New Roman" w:cs="Times New Roman" w:ascii="Times New Roman" w:hAnsi="Times New Roman"/>
        </w:rPr>
        <w:t xml:space="preserve"> in exploiting the correlated phonon transport.</w:t>
      </w:r>
    </w:p>
    <w:p>
      <w:pPr>
        <w:pStyle w:val="Normal"/>
        <w:spacing w:lineRule="auto" w:line="240" w:before="0" w:after="0"/>
        <w:jc w:val="both"/>
        <w:rPr>
          <w:rFonts w:ascii="Times New Roman" w:hAnsi="Times New Roman" w:eastAsia="Times New Roman" w:cs="Times New Roman"/>
          <w:b/>
          <w:bCs/>
        </w:rPr>
      </w:pPr>
      <w:r>
        <w:rPr>
          <w:rFonts w:eastAsia="Times New Roman" w:cs="Times New Roman" w:ascii="Times New Roman" w:hAnsi="Times New Roman"/>
          <w:b/>
          <w:bCs/>
        </w:rPr>
        <w:t>WP2.</w:t>
      </w:r>
      <w:r>
        <w:rPr>
          <w:rFonts w:eastAsia="Times New Roman" w:cs="Times New Roman" w:ascii="Times New Roman" w:hAnsi="Times New Roman"/>
        </w:rPr>
        <w:t xml:space="preserve"> </w:t>
      </w:r>
      <w:r>
        <w:rPr>
          <w:rFonts w:eastAsia="Times New Roman" w:cs="Times New Roman" w:ascii="Times New Roman" w:hAnsi="Times New Roman"/>
          <w:b/>
          <w:bCs/>
        </w:rPr>
        <w:t>Engineered moiré and superconductivity in low-dimensional materials</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Recent advances in nanoscale fabrication allow the engineering of superconductivity and quantum interference in low-dimensional materials through controlled patterning and structural modulation. We aim to understand how artificial periodicity, introduced via antidot lattices or moiré superstructures, can reshape the electronic and superconducting properties of 2D systems.</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 xml:space="preserve">Our </w:t>
      </w:r>
      <w:r>
        <w:rPr>
          <w:rFonts w:eastAsia="Times New Roman" w:cs="Times New Roman" w:ascii="Times New Roman" w:hAnsi="Times New Roman"/>
          <w:b/>
          <w:bCs/>
        </w:rPr>
        <w:t>starting hypothesis</w:t>
      </w:r>
      <w:r>
        <w:rPr>
          <w:rFonts w:eastAsia="Times New Roman" w:cs="Times New Roman" w:ascii="Times New Roman" w:hAnsi="Times New Roman"/>
        </w:rPr>
        <w:t xml:space="preserve"> focuses on </w:t>
      </w:r>
      <w:r>
        <w:rPr>
          <w:rFonts w:eastAsia="Times New Roman" w:cs="Times New Roman" w:ascii="Times New Roman" w:hAnsi="Times New Roman"/>
          <w:b/>
          <w:bCs/>
        </w:rPr>
        <w:t>synthetic superlattice potentials</w:t>
      </w:r>
      <w:r>
        <w:rPr>
          <w:rFonts w:eastAsia="Times New Roman" w:cs="Times New Roman" w:ascii="Times New Roman" w:hAnsi="Times New Roman"/>
        </w:rPr>
        <w:t xml:space="preserve"> in </w:t>
      </w:r>
      <w:r>
        <w:rPr>
          <w:rFonts w:eastAsia="Times New Roman" w:cs="Times New Roman" w:ascii="Times New Roman" w:hAnsi="Times New Roman"/>
          <w:i/>
          <w:iCs/>
        </w:rPr>
        <w:t>natural</w:t>
      </w:r>
      <w:r>
        <w:rPr>
          <w:rFonts w:eastAsia="Times New Roman" w:cs="Times New Roman" w:ascii="Times New Roman" w:hAnsi="Times New Roman"/>
        </w:rPr>
        <w:t xml:space="preserve"> Bernal-stacked bilayer graphene, where a periodic antidot array combined with the intrinsic stacking is expected to produce flat or extended electronic bands, similar to those in magic angle twisted bilayer graphene (MATBG). Extending this idea, we will explore super-moiré systems in which a patterned antidot lattice is overlaid onto MATBG, enabling us to disentangle the interplay between intrinsic and engineered periodicities. This dual modulation provides a versatile platform for probing correlation effects, band reconstruction, and emergent ordered phases. A second research direction concerns </w:t>
      </w:r>
      <w:r>
        <w:rPr>
          <w:rFonts w:eastAsia="Times New Roman" w:cs="Times New Roman" w:ascii="Times New Roman" w:hAnsi="Times New Roman"/>
          <w:b/>
          <w:bCs/>
        </w:rPr>
        <w:t>strain engineering</w:t>
      </w:r>
      <w:r>
        <w:rPr>
          <w:rFonts w:eastAsia="Times New Roman" w:cs="Times New Roman" w:ascii="Times New Roman" w:hAnsi="Times New Roman"/>
        </w:rPr>
        <w:t xml:space="preserve"> </w:t>
      </w:r>
      <w:r>
        <w:rPr>
          <w:rFonts w:eastAsia="Times New Roman" w:cs="Times New Roman" w:ascii="Times New Roman" w:hAnsi="Times New Roman"/>
          <w:b/>
          <w:bCs/>
        </w:rPr>
        <w:t xml:space="preserve">in holey twisted bilayer graphene </w:t>
      </w:r>
      <w:r>
        <w:rPr>
          <w:rFonts w:eastAsia="Times New Roman" w:cs="Times New Roman" w:ascii="Times New Roman" w:hAnsi="Times New Roman"/>
        </w:rPr>
        <w:t>(TBG), exploiting thermal- mismatch effects to tune low-temperature electronic behavior. Polycarbonate (PC), with its large thermal expansion coefficient and high stiffness, can transfer significant biaxial compressive strain to 2D materials upon cooling. When combined with hole patterns, this method offers a sensitive means of modulating the moiré potential and accessing strain-driven correlated or topological phases.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Finally, we will theoretically explore </w:t>
      </w:r>
      <w:r>
        <w:rPr>
          <w:rFonts w:eastAsia="Times New Roman" w:cs="Times New Roman" w:ascii="Times New Roman" w:hAnsi="Times New Roman"/>
          <w:b/>
          <w:bCs/>
        </w:rPr>
        <w:t>topological superconductivity in semi-Dirac materials,</w:t>
      </w:r>
      <w:r>
        <w:rPr>
          <w:rFonts w:eastAsia="Times New Roman" w:cs="Times New Roman" w:ascii="Times New Roman" w:hAnsi="Times New Roman"/>
        </w:rPr>
        <w:t xml:space="preserve"> which exhibit anisotropic dispersion with electrons behaving as massless Dirac fermions in one direction and massive carriers in the orthogonal one. By placing such materials in proximity to a s-wave superconductor, we expect to induce effective p-wave pairing due to the Rashba coupling. We will map the regimes supporting topological zero-energy states and evaluate their robustness.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88" w:before="0" w:after="0"/>
        <w:jc w:val="both"/>
        <w:rPr>
          <w:rFonts w:ascii="Times New Roman" w:hAnsi="Times New Roman" w:eastAsia="Times New Roman" w:cs="Times New Roman"/>
        </w:rPr>
      </w:pPr>
      <w:r>
        <w:rPr>
          <w:rFonts w:eastAsia="Times New Roman" w:cs="Times New Roman" w:ascii="Times New Roman" w:hAnsi="Times New Roman"/>
          <w:b/>
          <w:bCs/>
        </w:rPr>
        <w:t>WP3. Time-driven and symmetry engineering of low-dimensional systems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The proposed WP is justified by the need to </w:t>
      </w:r>
      <w:r>
        <w:rPr>
          <w:rFonts w:eastAsia="Times New Roman" w:cs="Times New Roman" w:ascii="Times New Roman" w:hAnsi="Times New Roman"/>
          <w:b/>
          <w:bCs/>
        </w:rPr>
        <w:t>deepen our understanding of how quantum phenomena emerge</w:t>
      </w:r>
      <w:r>
        <w:rPr>
          <w:rFonts w:eastAsia="Times New Roman" w:cs="Times New Roman" w:ascii="Times New Roman" w:hAnsi="Times New Roman"/>
        </w:rPr>
        <w:t xml:space="preserve"> and can be controlled in novel low-dimensional and symmetry-tailored materials. Recent advances in material synthesis and nanoscale characterization have revealed that quantum transport can be engineered by manipulating crystalline symmetries, interface structures and external driving fields. Therefore, this WP aims to elucidate how symmetry engineering influences spin-dependent transport pathways and magnetic order in 2D heterostructured systems, delivering insights relevant to spintronics and quantum sensing. Regarding topological states in low-dimensional systems, the WP will explore how topological boundary states can be tuned through external strain, gating and dimensional confinement. These investigations are expected to clarify the mechanisms through which topology and real-space localization interplay to produce robust, controllable quantum functionalities. Finally, in the context of time-driven engineering of quantum materials, the project will analyze how periodic driving, ultrafast optical pulses and non-equilibrium protocols can be used to dynamically modulate band structures and magnetic textures, enabling transient or steady-state quantum phases not achievable in equilibrium. By integrating theoretical modeling with experimental validation, the project will generate new knowledge on both the fundamental physical principles and the practical design strategies needed to develop next-generation quantum materials and devices. Overall, the expected contributions span from conceptual advances in understanding </w:t>
      </w:r>
      <w:r>
        <w:rPr>
          <w:rFonts w:eastAsia="Times New Roman" w:cs="Times New Roman" w:ascii="Times New Roman" w:hAnsi="Times New Roman"/>
          <w:b/>
          <w:bCs/>
        </w:rPr>
        <w:t>emergent quantum behavior</w:t>
      </w:r>
      <w:r>
        <w:rPr>
          <w:rFonts w:eastAsia="Times New Roman" w:cs="Times New Roman" w:ascii="Times New Roman" w:hAnsi="Times New Roman"/>
        </w:rPr>
        <w:t xml:space="preserve"> to actionable guidelines for the </w:t>
      </w:r>
      <w:r>
        <w:rPr>
          <w:rFonts w:eastAsia="Times New Roman" w:cs="Times New Roman" w:ascii="Times New Roman" w:hAnsi="Times New Roman"/>
          <w:b/>
          <w:bCs/>
        </w:rPr>
        <w:t>controlled realization of quantum func- tionalities</w:t>
      </w:r>
      <w:r>
        <w:rPr>
          <w:rFonts w:eastAsia="Times New Roman" w:cs="Times New Roman" w:ascii="Times New Roman" w:hAnsi="Times New Roman"/>
        </w:rPr>
        <w:t xml:space="preserve"> in real materials platforms.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b/>
          <w:bCs/>
        </w:rPr>
      </w:pPr>
      <w:r>
        <w:rPr>
          <w:rFonts w:eastAsia="Times New Roman" w:cs="Times New Roman" w:ascii="Times New Roman" w:hAnsi="Times New Roman"/>
          <w:b/>
          <w:bCs/>
          <w:i/>
          <w:iCs/>
          <w:u w:val="single"/>
        </w:rPr>
        <w:t>In research-oriented projects</w:t>
      </w:r>
      <w:r>
        <w:rPr>
          <w:rFonts w:eastAsia="Times New Roman" w:cs="Times New Roman" w:ascii="Times New Roman" w:hAnsi="Times New Roman"/>
          <w:b/>
          <w:bCs/>
        </w:rPr>
        <w:t>:</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numPr>
          <w:ilvl w:val="1"/>
          <w:numId w:val="1"/>
        </w:numPr>
        <w:pBdr/>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rPr>
        <w:t>Justification and expected contribution of the project to solving specific problems linked to the selected thematic priority.</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Not applicable.</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Heading1"/>
        <w:numPr>
          <w:ilvl w:val="0"/>
          <w:numId w:val="1"/>
        </w:numPr>
        <w:spacing w:lineRule="auto" w:line="240" w:before="0" w:after="0"/>
        <w:ind w:hanging="567" w:left="567"/>
        <w:jc w:val="both"/>
        <w:rPr>
          <w:rFonts w:ascii="Times New Roman" w:hAnsi="Times New Roman" w:eastAsia="Times New Roman" w:cs="Times New Roman"/>
          <w:b/>
          <w:bCs/>
          <w:color w:val="000000"/>
          <w:sz w:val="22"/>
          <w:szCs w:val="22"/>
        </w:rPr>
      </w:pPr>
      <w:r>
        <w:rPr>
          <w:rFonts w:eastAsia="Times New Roman" w:cs="Times New Roman" w:ascii="Times New Roman" w:hAnsi="Times New Roman"/>
          <w:b/>
          <w:bCs/>
          <w:color w:val="000000"/>
          <w:sz w:val="22"/>
          <w:szCs w:val="22"/>
        </w:rPr>
        <w:t>OBJECTIVES, METHODOLOGY AND WORK PLAN.</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numPr>
          <w:ilvl w:val="1"/>
          <w:numId w:val="1"/>
        </w:numPr>
        <w:pBdr/>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rPr>
        <w:t>General and specific objectives.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 </w:t>
      </w:r>
      <w:r>
        <w:rPr>
          <w:rFonts w:eastAsia="Times New Roman" w:cs="Times New Roman" w:ascii="Times New Roman" w:hAnsi="Times New Roman"/>
        </w:rPr>
        <w:tab/>
      </w:r>
    </w:p>
    <w:p>
      <w:pPr>
        <w:pStyle w:val="Normal"/>
        <w:spacing w:lineRule="auto" w:line="240" w:before="0" w:after="0"/>
        <w:jc w:val="both"/>
        <w:rPr>
          <w:rFonts w:ascii="Times New Roman" w:hAnsi="Times New Roman" w:eastAsia="Times New Roman" w:cs="Times New Roman"/>
          <w:color w:val="222222"/>
        </w:rPr>
      </w:pPr>
      <w:r>
        <w:rPr>
          <w:rFonts w:eastAsia="Times New Roman" w:cs="Times New Roman" w:ascii="Times New Roman" w:hAnsi="Times New Roman"/>
          <w:color w:val="222222"/>
        </w:rPr>
        <w:t>The ultimate objective of this project is to investigate nanostructured materials in which strongly correlated electron and phonon transport properties are governed by emergent quantum phenomena. In addition, the project seeks to explore novel device geometries and their responses to time-dependent external fields that can harness these phenomena, ultimately paving the way for their integration into advanced technological applications. Below, we outline the specific objectives associated with each WP.</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pBdr/>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rPr>
        <w:t xml:space="preserve">WP1. </w:t>
      </w:r>
      <w:r>
        <w:rPr>
          <w:rFonts w:eastAsia="Times New Roman" w:cs="Times New Roman" w:ascii="Times New Roman" w:hAnsi="Times New Roman"/>
          <w:b/>
          <w:bCs/>
        </w:rPr>
        <w:t>Electron and phonon hydrodynamics in 2D materials</w:t>
      </w:r>
    </w:p>
    <w:p>
      <w:pPr>
        <w:pStyle w:val="Normal"/>
        <w:pBd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ab/>
      </w:r>
    </w:p>
    <w:p>
      <w:pPr>
        <w:pStyle w:val="Normal"/>
        <w:spacing w:lineRule="auto" w:line="240" w:before="0" w:after="140"/>
        <w:jc w:val="both"/>
        <w:rPr>
          <w:rFonts w:ascii="Times New Roman" w:hAnsi="Times New Roman" w:eastAsia="Times New Roman" w:cs="Times New Roman"/>
        </w:rPr>
      </w:pPr>
      <w:r>
        <w:rPr>
          <w:rFonts w:eastAsia="Times New Roman" w:cs="Times New Roman" w:ascii="Times New Roman" w:hAnsi="Times New Roman"/>
        </w:rPr>
        <w:t>Very  recently, stemming from the joint work between the two subprojects (coordinated grant PID2022-136285NB-C31/C32/C33), we have demonstrated that, to enhance electric current inhomogeneity, essential for observing hydrodynamic effects, graphene heterostructures patterned into an antidot array significantly outperforms crenellated and quantum point contact (QPC)-like samples [EST25a]. These findings establish the antidot superlattice (ASL) as a powerful platform for realizing electron hydrodynamics and offer new insights into the fundamental and applied aspects of superballistic conduction. The relevance of this work was underlined by APS devoting a Physics Focus to our work [BUC25].</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On the other side, only in the last few years has terahertz (THz) detection within the hydrodynamic regime attracted significant attention [KRA25]. However, it has so far been limited to the use of QPCs to induce hydrodynamic electron flow. It has been demonstrated that electrons exposed to continuous-wave THz radiation can become thermally decoupled from the lattice, resulting in a decrease in resistance (Gurzhi effect) due to THz-induced superballistic flow. The development of THz detection at room temperature remains one of the most promising frontiers in condensed matter physics involving 2D materials [LUD24]. In this field, SP2 has established a world-leading position [DEL22], demonstrating strong plasmonic rectification in asymmetric dual-gated graphene-based field-effect transistors (G-FETs). This breakthrough offers a new route to enhance responsivity, paving the way toward record-setting performance in graphene-based THz nanophotodetectors.</w:t>
        <w:tab/>
        <w:t xml:space="preserve"> </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We aim to gather our expertise in electron hydrodynamics and THz detection to design and fabricate fully functional G-FETs. These devices are anticipated to reach response times on the order of picoseconds. Beyond their fundamental implications, our results will showcase the practical potential of electron hydrodynamics for the development of graphene-based THz field-effect transistors (G-TeraFETs).</w:t>
      </w:r>
    </w:p>
    <w:p>
      <w:pPr>
        <w:pStyle w:val="Normal"/>
        <w:pBdr/>
        <w:spacing w:lineRule="auto" w:line="240" w:before="0" w:after="140"/>
        <w:jc w:val="both"/>
        <w:rPr>
          <w:rFonts w:ascii="Times New Roman" w:hAnsi="Times New Roman" w:eastAsia="Times New Roman" w:cs="Times New Roman"/>
        </w:rPr>
      </w:pPr>
      <w:r>
        <w:rPr>
          <w:rFonts w:eastAsia="Times New Roman" w:cs="Times New Roman" w:ascii="Times New Roman" w:hAnsi="Times New Roman"/>
          <w:b/>
          <w:bCs/>
        </w:rPr>
        <w:t>Activity 1.1</w:t>
      </w:r>
      <w:r>
        <w:rPr>
          <w:rFonts w:eastAsia="Times New Roman" w:cs="Times New Roman" w:ascii="Times New Roman" w:hAnsi="Times New Roman"/>
        </w:rPr>
        <w:t>. Gold and graphite antennas integration with antidot-superlattice G-TeraFETs – Fabrication and low-temperature characterization</w:t>
      </w:r>
      <w:r>
        <w:rPr>
          <w:rFonts w:eastAsia="Times New Roman" w:cs="Times New Roman" w:ascii="Times New Roman" w:hAnsi="Times New Roman"/>
          <w:b/>
          <w:bCs/>
        </w:rPr>
        <w:t xml:space="preserve">. </w:t>
      </w:r>
      <w:r>
        <w:rPr>
          <w:rFonts w:eastAsia="Times New Roman" w:cs="Times New Roman" w:ascii="Times New Roman" w:hAnsi="Times New Roman"/>
        </w:rPr>
        <w:t>Led by PI1 of SP2 (E. Diez). Research team: PI2 of SP2 (M. Amado). Work team of SP2: A. Pérez, V. Clericò, P. Canteli and J. Gil.</w:t>
      </w:r>
    </w:p>
    <w:p>
      <w:pPr>
        <w:pStyle w:val="Normal"/>
        <w:pBdr/>
        <w:spacing w:lineRule="auto" w:line="240" w:before="0" w:after="140"/>
        <w:jc w:val="both"/>
        <w:rPr>
          <w:rFonts w:ascii="Times New Roman" w:hAnsi="Times New Roman" w:eastAsia="Times New Roman" w:cs="Times New Roman"/>
        </w:rPr>
      </w:pPr>
      <w:r>
        <w:rPr>
          <w:rFonts w:eastAsia="Times New Roman" w:cs="Times New Roman" w:ascii="Times New Roman" w:hAnsi="Times New Roman"/>
        </w:rPr>
        <w:t xml:space="preserve">Members of Nanotech (SP2) have been developing, fabricating and analyzing G-TeraFETs over several years, drawing foundational insight from Dyakonov and Shur’s pioneering work [DYA93], and achieving notable performance levels at ambient conditions [DEL22]. These results are reflected in recent comparative reviews (see Table 1 in [LUD24]). We have introduced a novel approach to enhance the hydrodynamic behavior of graphene by implementing 100, 200 and 300 nm antidot superlattice structures [see panels (a)-(d) of Figure 1]. </w:t>
      </w:r>
    </w:p>
    <w:p>
      <w:pPr>
        <w:pStyle w:val="Normal"/>
        <w:spacing w:lineRule="auto" w:line="240" w:before="0" w:after="140"/>
        <w:jc w:val="center"/>
        <w:rPr>
          <w:rFonts w:ascii="Arial" w:hAnsi="Arial" w:eastAsia="Arial" w:cs="Arial"/>
        </w:rPr>
      </w:pPr>
      <w:r>
        <w:rPr/>
        <w:drawing>
          <wp:inline distT="0" distB="0" distL="0" distR="0">
            <wp:extent cx="4401185" cy="2677160"/>
            <wp:effectExtent l="0" t="0" r="0" b="0"/>
            <wp:docPr id="6" name="image1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2.png" descr=""/>
                    <pic:cNvPicPr>
                      <a:picLocks noChangeAspect="1" noChangeArrowheads="1"/>
                    </pic:cNvPicPr>
                  </pic:nvPicPr>
                  <pic:blipFill>
                    <a:blip r:embed="rId5"/>
                    <a:stretch>
                      <a:fillRect/>
                    </a:stretch>
                  </pic:blipFill>
                  <pic:spPr bwMode="auto">
                    <a:xfrm>
                      <a:off x="0" y="0"/>
                      <a:ext cx="4401185" cy="2677160"/>
                    </a:xfrm>
                    <a:prstGeom prst="rect">
                      <a:avLst/>
                    </a:prstGeom>
                    <a:noFill/>
                  </pic:spPr>
                </pic:pic>
              </a:graphicData>
            </a:graphic>
          </wp:inline>
        </w:drawing>
      </w:r>
    </w:p>
    <w:p>
      <w:pPr>
        <w:pStyle w:val="Normal"/>
        <w:spacing w:lineRule="auto" w:line="240" w:before="0" w:after="140"/>
        <w:jc w:val="both"/>
        <w:rPr>
          <w:rFonts w:ascii="Arial" w:hAnsi="Arial" w:eastAsia="Arial" w:cs="Arial"/>
        </w:rPr>
      </w:pPr>
      <w:r>
        <w:rPr>
          <w:rFonts w:eastAsia="Times New Roman" w:cs="Times New Roman" w:ascii="Times New Roman" w:hAnsi="Times New Roman"/>
          <w:b/>
          <w:bCs/>
        </w:rPr>
        <w:t xml:space="preserve">Figure 1: </w:t>
      </w:r>
      <w:r>
        <w:rPr>
          <w:rFonts w:eastAsia="Times New Roman" w:cs="Times New Roman" w:ascii="Times New Roman" w:hAnsi="Times New Roman"/>
        </w:rPr>
        <w:t xml:space="preserve">Graphene antidot superlattices. (a)-(c) Optical and SEM micrographs of the </w:t>
      </w:r>
      <w:r>
        <w:rPr>
          <w:rFonts w:eastAsia="Times New Roman" w:cs="Times New Roman" w:ascii="Times New Roman" w:hAnsi="Times New Roman"/>
          <w:color w:val="231F20"/>
        </w:rPr>
        <w:t>graphene antidot superlattice.</w:t>
      </w:r>
      <w:r>
        <w:rPr>
          <w:rFonts w:eastAsia="Times New Roman" w:cs="Times New Roman" w:ascii="Times New Roman" w:hAnsi="Times New Roman"/>
        </w:rPr>
        <w:t xml:space="preserve"> </w:t>
      </w:r>
      <w:r>
        <w:rPr>
          <w:rFonts w:eastAsia="Times New Roman" w:cs="Times New Roman" w:ascii="Times New Roman" w:hAnsi="Times New Roman"/>
          <w:color w:val="231F20"/>
        </w:rPr>
        <w:t>Three regions can be found, where the antidot diameters are 100, 200, and 300 nm. (d) Stream flow in a periodic antidot superlattice, where colors account for the electric potential and streamlines are average electron trajectories [EST25a]. (e)-(g) Unpublished calculations of the THz impedance for two antidot sizes.</w:t>
      </w:r>
      <w:r>
        <w:rPr>
          <w:rFonts w:eastAsia="Times New Roman" w:cs="Times New Roman" w:ascii="Times New Roman" w:hAnsi="Times New Roman"/>
          <w:b/>
          <w:bCs/>
          <w:color w:val="231F20"/>
        </w:rPr>
        <w:t xml:space="preserve"> </w:t>
      </w:r>
      <w:r>
        <w:rPr>
          <w:rFonts w:eastAsia="Arial" w:cs="Arial" w:ascii="Arial" w:hAnsi="Arial"/>
          <w:b/>
          <w:bCs/>
          <w:color w:val="231F20"/>
        </w:rPr>
        <w:tab/>
      </w:r>
      <w:r>
        <w:rPr>
          <w:rFonts w:eastAsia="Arial" w:cs="Arial" w:ascii="Arial" w:hAnsi="Arial"/>
          <w:b/>
          <w:bCs/>
          <w:color w:val="231F20"/>
          <w:sz w:val="18"/>
          <w:szCs w:val="18"/>
        </w:rPr>
        <w:t xml:space="preserve"> </w:t>
      </w:r>
    </w:p>
    <w:p>
      <w:pPr>
        <w:pStyle w:val="Normal"/>
        <w:pBdr/>
        <w:spacing w:lineRule="auto" w:line="240" w:before="0" w:after="140"/>
        <w:jc w:val="both"/>
        <w:rPr>
          <w:rFonts w:ascii="Times New Roman" w:hAnsi="Times New Roman" w:eastAsia="Times New Roman" w:cs="Times New Roman"/>
        </w:rPr>
      </w:pPr>
      <w:r>
        <w:rPr>
          <w:rFonts w:eastAsia="Times New Roman" w:cs="Times New Roman" w:ascii="Times New Roman" w:hAnsi="Times New Roman"/>
        </w:rPr>
        <w:t>Electron flow also undergoes major changes as a function of frequency [BAR23,EST25a], not explored in [KRA25]. For our antidot sizes, the changes occur within the range of THz. Kinetic models can be generalized to the high-frequency domain, and panels (e)-(g) of Figure 1 depict some preliminary calculations by members of SP1, specifically for the additional size-dependent hydrodynamic effect. Indeed, the use of superlattice structures will be a cornerstone of the new G-TeraFET generation we aim to produce and characterize in WP1.</w:t>
      </w:r>
    </w:p>
    <w:p>
      <w:pPr>
        <w:pStyle w:val="Normal"/>
        <w:pBdr/>
        <w:spacing w:lineRule="auto" w:line="240" w:before="0" w:after="140"/>
        <w:jc w:val="both"/>
        <w:rPr>
          <w:rFonts w:ascii="Times New Roman" w:hAnsi="Times New Roman" w:eastAsia="Times New Roman" w:cs="Times New Roman"/>
          <w:b/>
          <w:bCs/>
          <w:color w:val="231F20"/>
          <w:sz w:val="18"/>
          <w:szCs w:val="18"/>
        </w:rPr>
      </w:pPr>
      <w:r>
        <w:rPr>
          <w:rFonts w:eastAsia="Times New Roman" w:cs="Times New Roman" w:ascii="Times New Roman" w:hAnsi="Times New Roman"/>
        </w:rPr>
        <w:t xml:space="preserve">Parallel research by Bandurin </w:t>
      </w:r>
      <w:r>
        <w:rPr>
          <w:rFonts w:eastAsia="Times New Roman" w:cs="Times New Roman" w:ascii="Times New Roman" w:hAnsi="Times New Roman"/>
          <w:i/>
          <w:iCs/>
        </w:rPr>
        <w:t>et al</w:t>
      </w:r>
      <w:r>
        <w:rPr>
          <w:rFonts w:eastAsia="Times New Roman" w:cs="Times New Roman" w:ascii="Times New Roman" w:hAnsi="Times New Roman"/>
        </w:rPr>
        <w:t>. has demonstrated THz-induced superballistic electron transport in graphene nanoconstrictions [BAN16]. Compared to their results, our ASL achieves higher superballistic response [EST25a], exceeding the performance of previous nanoconstriction-based designs [KUM17]. We therefore anticipate that our devices will more effectively harness hydrodynamic plasmons for high-sensitivity THz detection.</w:t>
      </w:r>
      <w:r>
        <w:rPr>
          <w:rFonts w:eastAsia="Times New Roman" w:cs="Times New Roman" w:ascii="Times New Roman" w:hAnsi="Times New Roman"/>
          <w:b/>
          <w:bCs/>
          <w:color w:val="231F20"/>
          <w:sz w:val="18"/>
          <w:szCs w:val="18"/>
        </w:rPr>
        <w:tab/>
        <w:t xml:space="preserve"> </w:t>
        <w:tab/>
      </w:r>
    </w:p>
    <w:p>
      <w:pPr>
        <w:pStyle w:val="Normal"/>
        <w:spacing w:lineRule="auto" w:line="240" w:before="0" w:after="100"/>
        <w:jc w:val="both"/>
        <w:rPr>
          <w:rFonts w:ascii="Times New Roman" w:hAnsi="Times New Roman" w:eastAsia="Times New Roman" w:cs="Times New Roman"/>
          <w:color w:val="231F20"/>
        </w:rPr>
      </w:pPr>
      <w:r>
        <w:rPr>
          <w:rFonts w:eastAsia="Times New Roman" w:cs="Times New Roman" w:ascii="Times New Roman" w:hAnsi="Times New Roman"/>
          <w:color w:val="222222"/>
        </w:rPr>
        <w:t>Integrating antennas to enhance the coupling with the radiation is a significant area of interest for improving the responsiveness and the Noise-Equivalent Power of the devices. Members of Nanotech (SP2) have also investigated different types of wideband antennas (bow-tie and log-periodic) and also resonance antennas (dual grating) with very good results [DEL22,CAR24,ABI24]. Some of our designs are shown in Figure 2(a) on the next page. The main goal will be the fabrication of different ASL G-TeraFETs (ASL-GTeraFETs) with antidot size from 50 nm to 300 nm, integrated with bow-tie or dual-grating antennas, and to combine both, as sketched in Figure 2(b).</w:t>
      </w:r>
      <w:r>
        <w:rPr>
          <w:rFonts w:eastAsia="Times New Roman" w:cs="Times New Roman" w:ascii="Times New Roman" w:hAnsi="Times New Roman"/>
          <w:color w:val="231F20"/>
        </w:rPr>
        <w:t xml:space="preserve"> We will employ the THz-Time Domain Spectroscopy system in USAL-Nanolab TERALAB, led by Yahya Meziani, to extract the real and imaginary parts of the permittivity. We expect the best performance will be obtained by using a combination of a 90° bow-tie and a dual-grating, as we recently verified [ABI24] in standard G-TeraFETs. We will focus particularly on the study of different antidot superlattice sizes (from 50 to 300 nm) related to the THz detection performance, trying to distinguish when the hydrodynamic plasmons are dominant and when we return to a mixture of plasmon as in standard G-TeraFETs.</w:t>
      </w:r>
    </w:p>
    <w:p>
      <w:pPr>
        <w:pStyle w:val="Normal"/>
        <w:spacing w:lineRule="auto" w:line="240" w:before="0" w:after="100"/>
        <w:jc w:val="both"/>
        <w:rPr>
          <w:rFonts w:ascii="Arial" w:hAnsi="Arial" w:eastAsia="Arial" w:cs="Arial"/>
        </w:rPr>
      </w:pPr>
      <w:r>
        <w:rPr/>
        <w:drawing>
          <wp:inline distT="0" distB="0" distL="0" distR="0">
            <wp:extent cx="5759450" cy="1447800"/>
            <wp:effectExtent l="0" t="0" r="0" b="0"/>
            <wp:docPr id="7" name="image1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0.png" descr=""/>
                    <pic:cNvPicPr>
                      <a:picLocks noChangeAspect="1" noChangeArrowheads="1"/>
                    </pic:cNvPicPr>
                  </pic:nvPicPr>
                  <pic:blipFill>
                    <a:blip r:embed="rId6"/>
                    <a:stretch>
                      <a:fillRect/>
                    </a:stretch>
                  </pic:blipFill>
                  <pic:spPr bwMode="auto">
                    <a:xfrm>
                      <a:off x="0" y="0"/>
                      <a:ext cx="5759450" cy="1447800"/>
                    </a:xfrm>
                    <a:prstGeom prst="rect">
                      <a:avLst/>
                    </a:prstGeom>
                    <a:noFill/>
                  </pic:spPr>
                </pic:pic>
              </a:graphicData>
            </a:graphic>
          </wp:inline>
        </w:drawing>
      </w:r>
    </w:p>
    <w:p>
      <w:pPr>
        <w:pStyle w:val="Normal"/>
        <w:spacing w:lineRule="auto" w:line="240" w:before="140" w:after="200"/>
        <w:ind w:right="140"/>
        <w:jc w:val="both"/>
        <w:rPr>
          <w:rFonts w:ascii="Times New Roman" w:hAnsi="Times New Roman" w:eastAsia="Times New Roman" w:cs="Times New Roman"/>
          <w:sz w:val="26"/>
          <w:szCs w:val="26"/>
        </w:rPr>
      </w:pPr>
      <w:r>
        <w:rPr>
          <w:rFonts w:eastAsia="Times New Roman" w:cs="Times New Roman" w:ascii="Times New Roman" w:hAnsi="Times New Roman"/>
          <w:b/>
          <w:bCs/>
        </w:rPr>
        <w:t xml:space="preserve">Figure 2: </w:t>
      </w:r>
      <w:r>
        <w:rPr>
          <w:rFonts w:eastAsia="Times New Roman" w:cs="Times New Roman" w:ascii="Times New Roman" w:hAnsi="Times New Roman"/>
        </w:rPr>
        <w:t>(a) Standard designs for antennas fabricated in our clean-room at USAL that facilitate the absorption of incident THz radiation by the device. From references [DEL22] and [CAR24]. (b) Sketch of the proposed ASL-GTeraFET device.</w:t>
      </w:r>
    </w:p>
    <w:p>
      <w:pPr>
        <w:pStyle w:val="Normal"/>
        <w:spacing w:lineRule="auto" w:line="240" w:before="0" w:after="140"/>
        <w:jc w:val="both"/>
        <w:rPr>
          <w:rFonts w:ascii="Times New Roman" w:hAnsi="Times New Roman" w:eastAsia="Times New Roman" w:cs="Times New Roman"/>
          <w:b/>
          <w:bCs/>
        </w:rPr>
      </w:pPr>
      <w:r>
        <w:rPr>
          <w:rFonts w:eastAsia="Times New Roman" w:cs="Times New Roman" w:ascii="Times New Roman" w:hAnsi="Times New Roman"/>
        </w:rPr>
        <w:t>Transport measurements will be performed at low temperatures and high magnetic fields to determine the mobility and carrier density in the developed devices. High-frequency (0.075–5 THz) photovoltaic/photoconductive response measurements will be performed using our TeraLab facilities. The ASL-GTeraFETs fabricated in WP1 will be tested at low temperatures using a pulsed tube cryostat operating in the 5-300 K range. In TeraLab, we have a different measurement setup that covers the 0.075-5 THz range. For the 0.075–0.6 THz range, a dual solid-state source based on a 12.5 GHz dielectric resonator will be used. The measurements span the range of 2–5 THz, utilizing a multi-source system based on several Quantum Cascade Laser chips with Sterling cooling. The quality factor depends on the mobility of the device carriers and the excitation frequency. We will utilize our calibrated THz detector to accurately extract the key figures of merit, including Noise-Equivalent Power, Responsivity, and Detectivity of the THz sensors. We are particularly interested in measuring the response speed of these detectors, which will demonstrate the potential for using them in telecommunications and rapid inspection applications. The primary objective is to demonstrate a transition from a ballistic to a hydrodynamic regime that occurs at low temperatures upon switching on THz radiation. We will also utilize our optical dilution system (TRITON DR200), with a base temperature of 7 mK, in conjunction with the previous setup for THz characterization, located near the Teslatron system that will be used for transport and magnetotransport characterization.</w:t>
      </w:r>
    </w:p>
    <w:p>
      <w:pPr>
        <w:pStyle w:val="Normal"/>
        <w:pBdr/>
        <w:spacing w:lineRule="auto" w:line="240" w:before="0" w:after="140"/>
        <w:jc w:val="both"/>
        <w:rPr>
          <w:rFonts w:ascii="Times New Roman" w:hAnsi="Times New Roman" w:eastAsia="Times New Roman" w:cs="Times New Roman"/>
        </w:rPr>
      </w:pPr>
      <w:r>
        <w:rPr>
          <w:rFonts w:eastAsia="Times New Roman" w:cs="Times New Roman" w:ascii="Times New Roman" w:hAnsi="Times New Roman"/>
          <w:b/>
          <w:bCs/>
        </w:rPr>
        <w:t>Activity 1.2</w:t>
      </w:r>
      <w:r>
        <w:rPr>
          <w:rFonts w:eastAsia="Times New Roman" w:cs="Times New Roman" w:ascii="Times New Roman" w:hAnsi="Times New Roman"/>
        </w:rPr>
        <w:t>. Detection of radiation from 0.1 to 5 THz with an ASL-GTeraFETs: From 10 K to room-temperature. Led by PI1 of SP1 (F. Domínguez-Adame). Research Team: PI1 of SP2 (E. Diez), PI2 of SP2 (M. Amado), E. Díaz (SP1) and A, Malyshev (SP1). Work team of SP1: J. Estrada and FP1. Work team of SP2: A. Pérez, V. Clericò, P. Canteli and J. Gil.</w:t>
      </w:r>
    </w:p>
    <w:p>
      <w:pPr>
        <w:pStyle w:val="Normal"/>
        <w:pBdr/>
        <w:spacing w:lineRule="auto" w:line="240" w:before="0" w:after="140"/>
        <w:jc w:val="both"/>
        <w:rPr>
          <w:rFonts w:ascii="Times New Roman" w:hAnsi="Times New Roman" w:eastAsia="Times New Roman" w:cs="Times New Roman"/>
        </w:rPr>
      </w:pPr>
      <w:r>
        <w:rPr>
          <w:rFonts w:eastAsia="Times New Roman" w:cs="Times New Roman" w:ascii="Times New Roman" w:hAnsi="Times New Roman"/>
        </w:rPr>
        <w:t>From a theoretical standpoint, close coordination between the two subprojects will be crucial for identifying the optimal conditions required to achieve the THz hydrodynamic electronic transport regime and for ensuring the accurate interpretation of laboratory results. One of the key insights gained, thanks to the prior work of the SP1 team, is that the conventional Navier–Stokes equation fails to fully capture all experimental observations. Consequently, it became necessary to develop a more suitable formalism based on the Boltzmann transport equation. This framework offers unprecedented predictive accuracy, albeit with increased computational complexity. Nevertheless, it successfully overcomes the limitations of the Navier–Stokes approach and, most importantly, allows for a straightforward incorporation of radiation-field effects through the introduction of a new characteristic length scale [EST24a]. The comparison between theory and experimental results will make it possible to unequivocally determine the role of hydrodynamic plasmons in the response of the nanoantennas.</w:t>
      </w:r>
    </w:p>
    <w:p>
      <w:pPr>
        <w:pStyle w:val="Normal"/>
        <w:pBdr/>
        <w:spacing w:lineRule="auto" w:line="240" w:before="0" w:after="140"/>
        <w:jc w:val="both"/>
        <w:rPr>
          <w:rFonts w:ascii="Times New Roman" w:hAnsi="Times New Roman" w:eastAsia="Times New Roman" w:cs="Times New Roman"/>
        </w:rPr>
      </w:pPr>
      <w:r>
        <w:rPr>
          <w:rFonts w:eastAsia="Times New Roman" w:cs="Times New Roman" w:ascii="Times New Roman" w:hAnsi="Times New Roman"/>
          <w:b/>
          <w:bCs/>
        </w:rPr>
        <w:t>Activity 1.3</w:t>
      </w:r>
      <w:r>
        <w:rPr>
          <w:rFonts w:eastAsia="Times New Roman" w:cs="Times New Roman" w:ascii="Times New Roman" w:hAnsi="Times New Roman"/>
        </w:rPr>
        <w:t xml:space="preserve">. Nonlinear hydrodynamics. Led by E. Díaz (SP1). Research Team: PI1 of SP1 (F. Domínguez-Adame), PI1 of SP2 (E. Diez), IP2 of SP2 (M. Amado).  Work team of SP1: J. Estrada  and FP1. Work team of SP2: A. Pérez, V. Clericò, P. Canteli and J. Gil. </w:t>
      </w:r>
    </w:p>
    <w:p>
      <w:pPr>
        <w:pStyle w:val="Normal"/>
        <w:pBdr/>
        <w:spacing w:lineRule="auto" w:line="240" w:before="0" w:after="140"/>
        <w:jc w:val="both"/>
        <w:rPr>
          <w:rFonts w:ascii="Times New Roman" w:hAnsi="Times New Roman" w:eastAsia="Times New Roman" w:cs="Times New Roman"/>
        </w:rPr>
      </w:pPr>
      <w:r>
        <w:rPr>
          <w:rFonts w:eastAsia="Times New Roman" w:cs="Times New Roman" w:ascii="Times New Roman" w:hAnsi="Times New Roman"/>
        </w:rPr>
        <w:t xml:space="preserve">The characteristic hydrodynamic signatures of viscous electron flow observed in experiments are fundamentally linear phenomena. They are well described under the assumption that the fluid velocity remains much lower than the Fermi velocity. However, graphene can sustain extraordinary current densities and drift velocities approaching the Fermi velocity, as demonstrated in experiments on critical transport [BER22] and the Molenkamp effect [JON95]. These regimes reveal a distinct type of nonlinearity, in which the fluid velocity itself modifies the viscosity [WAN23,KRA25]. The recent observation of supersonic flow in bilayer graphene further underscores the feasibility of high-current experiments and opens new opportunities for exploring nonlinear electron hydrodynamics [GEU25]. </w:t>
      </w:r>
    </w:p>
    <w:p>
      <w:pPr>
        <w:pStyle w:val="Normal"/>
        <w:pBdr/>
        <w:spacing w:lineRule="auto" w:line="240" w:before="0" w:after="140"/>
        <w:jc w:val="both"/>
        <w:rPr>
          <w:rFonts w:ascii="Times New Roman" w:hAnsi="Times New Roman" w:eastAsia="Times New Roman" w:cs="Times New Roman"/>
        </w:rPr>
      </w:pPr>
      <w:r>
        <w:rPr>
          <w:rFonts w:eastAsia="Times New Roman" w:cs="Times New Roman" w:ascii="Times New Roman" w:hAnsi="Times New Roman"/>
        </w:rPr>
        <w:t xml:space="preserve">From a theoretical perspective, most existing studies remain confined to the conventional nonlinear Navier–Stokes framework, which fails to capture the unique electronic properties of graphene. A notable example is the nonlinear coupling between device geometry and magnetic field, known as magnetochirality. A similar effect has been investigated in metallic wires; however, its origin is unrelated to hydrodynamic effects, which underscores the novelty of our proposal. This phenomenon contributes a potential term proportional to </w:t>
      </w:r>
      <w:r>
        <w:rPr>
          <w:rFonts w:eastAsia="Times New Roman" w:cs="Times New Roman" w:ascii="Times New Roman" w:hAnsi="Times New Roman"/>
          <w:i/>
          <w:iCs/>
        </w:rPr>
        <w:t>I</w:t>
      </w:r>
      <w:r>
        <w:rPr>
          <w:rFonts w:eastAsia="Times New Roman" w:cs="Times New Roman" w:ascii="Times New Roman" w:hAnsi="Times New Roman"/>
          <w:vertAlign w:val="superscript"/>
        </w:rPr>
        <w:t>2</w:t>
      </w:r>
      <w:r>
        <w:rPr>
          <w:rFonts w:eastAsia="Times New Roman" w:cs="Times New Roman" w:ascii="Times New Roman" w:hAnsi="Times New Roman"/>
          <w:i/>
          <w:iCs/>
        </w:rPr>
        <w:t>B</w:t>
      </w:r>
      <w:r>
        <w:rPr>
          <w:rFonts w:eastAsia="Times New Roman" w:cs="Times New Roman" w:ascii="Times New Roman" w:hAnsi="Times New Roman"/>
        </w:rPr>
        <w:t>, and depends sensitively on the magnetic field direction [RIK01]. Consequently, a comprehensive understanding of nonlinear behavior in graphene will require the development of models that extend beyond the standard Navier–Stokes equation.</w:t>
      </w:r>
    </w:p>
    <w:p>
      <w:pPr>
        <w:pStyle w:val="Normal"/>
        <w:pBdr/>
        <w:spacing w:lineRule="auto" w:line="240" w:before="0" w:after="140"/>
        <w:jc w:val="both"/>
        <w:rPr>
          <w:rFonts w:ascii="Times New Roman" w:hAnsi="Times New Roman" w:eastAsia="Times New Roman" w:cs="Times New Roman"/>
        </w:rPr>
      </w:pPr>
      <w:r>
        <w:rPr>
          <w:rFonts w:eastAsia="Times New Roman" w:cs="Times New Roman" w:ascii="Times New Roman" w:hAnsi="Times New Roman"/>
        </w:rPr>
        <w:t>In contrast to previous works, where nonlinearity comes up from the dependence of temperature and viscosity on the electric current [JON95], we will also focus on a nonlinear model for electron flow and employ it to describe rectification and magnetochirality in graphene devices. Our approach starts from the semiclassical Boltzmann transport equation. Due to its numerical complexity, a direct solution is impractical. Hence, we reformulate the problem in terms of the angular distribution of electron velocities, retaining quadratic terms in the derivation of a generalized Navier–Stokes equation for the electron drift velocity. Our estimates indicate the emergence of an anomalous Bernoulli effect arising from graphene’s linear dispersion, which strongly deviates from the classical behavior. Moreover, our preparatory analysis suggests that the electron flow acquires a magnetochiral character through coupling with the magnetic field, yielding a response that depends on both the current and field directions. The regime of high currents in graphene thus reveals an exotic domain that extends not only beyond linear hydrodynamics but also beyond the conventional advection term of the Navier–Stokes equation.</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Rectification directly signals the nonlinear hydrodynamic regime. The Bernoulli effect predicts reduced resistance when electrons flow from a narrow nozzle into a wider region, and increased resistance for converging geometries, as shown in Figure 3. Building on our earlier work on engineered graphene heterostructures [SAL24a,SAL24b,EST25a], we will fabricate nozzle-like constrictions in encapsulated graphene to probe this regime. Devices with abrupt narrow–wide transitions will allow controlled studies of rectification and flow asymmetry under dc or combined AC+DC driving. Pre-patterned lateral contacts will enable magnetotransport measurements to detect resistance changes within each region or at the interfaces, as well as differential conductance to capture nonlinear response.</w:t>
      </w:r>
    </w:p>
    <w:tbl>
      <w:tblPr>
        <w:tblStyle w:val="a6"/>
        <w:tblW w:w="9030" w:type="dxa"/>
        <w:jc w:val="left"/>
        <w:tblInd w:w="0" w:type="dxa"/>
        <w:tblLayout w:type="fixed"/>
        <w:tblCellMar>
          <w:top w:w="0" w:type="dxa"/>
          <w:left w:w="0" w:type="dxa"/>
          <w:bottom w:w="0" w:type="dxa"/>
          <w:right w:w="0" w:type="dxa"/>
        </w:tblCellMar>
        <w:tblLook w:val="0600" w:noHBand="1" w:noVBand="1" w:firstColumn="0" w:lastRow="0" w:lastColumn="0" w:firstRow="0"/>
      </w:tblPr>
      <w:tblGrid>
        <w:gridCol w:w="5774"/>
        <w:gridCol w:w="3255"/>
      </w:tblGrid>
      <w:tr>
        <w:trPr>
          <w:trHeight w:val="2099" w:hRule="atLeast"/>
        </w:trPr>
        <w:tc>
          <w:tcPr>
            <w:tcW w:w="5774" w:type="dxa"/>
            <w:tcBorders/>
            <w:vAlign w:val="center"/>
          </w:tcPr>
          <w:p>
            <w:pPr>
              <w:pStyle w:val="Normal"/>
              <w:spacing w:before="0" w:after="140"/>
              <w:rPr>
                <w:rFonts w:ascii="Times New Roman" w:hAnsi="Times New Roman" w:eastAsia="Times New Roman" w:cs="Times New Roman"/>
              </w:rPr>
            </w:pPr>
            <w:r>
              <w:rPr/>
              <w:drawing>
                <wp:inline distT="0" distB="0" distL="0" distR="0">
                  <wp:extent cx="3618865" cy="1151890"/>
                  <wp:effectExtent l="0" t="0" r="0" b="0"/>
                  <wp:docPr id="8" name="image7.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7.jpg" descr=""/>
                          <pic:cNvPicPr>
                            <a:picLocks noChangeAspect="1" noChangeArrowheads="1"/>
                          </pic:cNvPicPr>
                        </pic:nvPicPr>
                        <pic:blipFill>
                          <a:blip r:embed="rId7"/>
                          <a:stretch>
                            <a:fillRect/>
                          </a:stretch>
                        </pic:blipFill>
                        <pic:spPr bwMode="auto">
                          <a:xfrm>
                            <a:off x="0" y="0"/>
                            <a:ext cx="3618865" cy="1151890"/>
                          </a:xfrm>
                          <a:prstGeom prst="rect">
                            <a:avLst/>
                          </a:prstGeom>
                          <a:noFill/>
                        </pic:spPr>
                      </pic:pic>
                    </a:graphicData>
                  </a:graphic>
                </wp:inline>
              </w:drawing>
            </w:r>
          </w:p>
        </w:tc>
        <w:tc>
          <w:tcPr>
            <w:tcW w:w="3255" w:type="dxa"/>
            <w:tcBorders/>
            <w:tcMar>
              <w:top w:w="100" w:type="dxa"/>
              <w:left w:w="100" w:type="dxa"/>
              <w:bottom w:w="100" w:type="dxa"/>
              <w:right w:w="100" w:type="dxa"/>
            </w:tcMar>
          </w:tcPr>
          <w:p>
            <w:pPr>
              <w:pStyle w:val="Normal"/>
              <w:spacing w:lineRule="auto" w:line="240" w:before="240" w:after="240"/>
              <w:jc w:val="both"/>
              <w:rPr>
                <w:rFonts w:ascii="Times New Roman" w:hAnsi="Times New Roman" w:eastAsia="Times New Roman" w:cs="Times New Roman"/>
                <w:sz w:val="26"/>
                <w:szCs w:val="26"/>
              </w:rPr>
            </w:pPr>
            <w:r>
              <w:rPr>
                <w:rFonts w:eastAsia="Times New Roman" w:cs="Times New Roman" w:ascii="Times New Roman" w:hAnsi="Times New Roman"/>
                <w:b/>
                <w:bCs/>
              </w:rPr>
              <w:t>Figure 3</w:t>
            </w:r>
            <w:r>
              <w:rPr>
                <w:rFonts w:eastAsia="Times New Roman" w:cs="Times New Roman" w:ascii="Times New Roman" w:hAnsi="Times New Roman"/>
              </w:rPr>
              <w:t>: Rectification in a graphene nozzle. The streamlines indicate the direction of the electron flow, opposite to the electric current.</w:t>
            </w:r>
          </w:p>
        </w:tc>
      </w:tr>
    </w:tbl>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The device geometries will be defined by cryoetching, a technique already demonstrated to be ideal for investigating hydrodynamic effects in graphene [EST25a], as it preserves edge quality and minimizes disorder. The resulting structures will range from few-hundred- nanometer-wide constrictions, resembling long QPCs, to micrometer-scale wide regions, providing a well-controlled platform to explore the transition from linear to nonlinear hydrodynamic behavior.</w:t>
      </w:r>
    </w:p>
    <w:p>
      <w:pPr>
        <w:pStyle w:val="Normal"/>
        <w:pBdr/>
        <w:spacing w:lineRule="auto" w:line="240" w:before="0" w:after="140"/>
        <w:jc w:val="both"/>
        <w:rPr>
          <w:rFonts w:ascii="Times New Roman" w:hAnsi="Times New Roman" w:eastAsia="Times New Roman" w:cs="Times New Roman"/>
        </w:rPr>
      </w:pPr>
      <w:r>
        <w:rPr>
          <w:rFonts w:eastAsia="Times New Roman" w:cs="Times New Roman" w:ascii="Times New Roman" w:hAnsi="Times New Roman"/>
          <w:b/>
          <w:bCs/>
        </w:rPr>
        <w:t>Activity 1.4</w:t>
      </w:r>
      <w:r>
        <w:rPr>
          <w:rFonts w:eastAsia="Times New Roman" w:cs="Times New Roman" w:ascii="Times New Roman" w:hAnsi="Times New Roman"/>
        </w:rPr>
        <w:t>. Phonon hydrodynamics. Led by IP2 of SP2 (M. Amado). Research Team: PI1 of SP2 (E. Diez), PI1 of SP1 (F. Domínguez-Adame) and E. Díaz (SP1). Work team of SP1: J. Estrada and FP1. Work team of SP2: A. Pérez, V. Clericò, P. Canteli, J. Gil, V. Bellani, M. Hilke, S. Huberman and N. Delnour.</w:t>
      </w:r>
    </w:p>
    <w:p>
      <w:pPr>
        <w:pStyle w:val="Normal"/>
        <w:spacing w:lineRule="auto" w:line="240" w:before="0" w:after="140"/>
        <w:jc w:val="both"/>
        <w:rPr>
          <w:rFonts w:ascii="Times New Roman" w:hAnsi="Times New Roman" w:eastAsia="Times New Roman" w:cs="Times New Roman"/>
        </w:rPr>
      </w:pPr>
      <w:r>
        <w:rPr>
          <w:rFonts w:eastAsia="Times New Roman" w:cs="Times New Roman" w:ascii="Times New Roman" w:hAnsi="Times New Roman"/>
        </w:rPr>
        <w:t xml:space="preserve">Hydrodynamic phonon transport has recently attracted growing attention as an intermediate regime of thermal conduction that bridges the microscopic dynamics of lattice vibrations and the macroscopic continuum description of heat flow.  The relevance of this regime lies in the emergence of transport phenomena that deviate fundamentally from Fourier’s law. From the point of view of applications, the observed head rectification in graphite Tesla valves has been attributed to hydrodynamic phonon transport [HUA24]. Some 2D materials, such as graphene, have been theoretically shown to support this departure [LIU25]. In these systems, thermal conductivity cannot be described by the single-mode relaxation time approximation, since phonon collisions continuously redistribute momentum among all modes. Consequently, a full solution of the Boltzmann transport equation, incorporating the complete collision operator, is required. </w:t>
      </w:r>
    </w:p>
    <w:p>
      <w:pPr>
        <w:pStyle w:val="Normal"/>
        <w:pBdr/>
        <w:spacing w:lineRule="auto" w:line="240" w:before="0" w:after="140"/>
        <w:jc w:val="both"/>
        <w:rPr>
          <w:rFonts w:ascii="Times New Roman" w:hAnsi="Times New Roman" w:eastAsia="Times New Roman" w:cs="Times New Roman"/>
        </w:rPr>
      </w:pPr>
      <w:r>
        <w:rPr>
          <w:rFonts w:eastAsia="Times New Roman" w:cs="Times New Roman" w:ascii="Times New Roman" w:hAnsi="Times New Roman"/>
        </w:rPr>
        <w:t>We will focus on phonon transport i</w:t>
      </w:r>
      <w:r>
        <w:rPr>
          <w:rFonts w:eastAsia="Times New Roman" w:cs="Times New Roman" w:ascii="Times New Roman" w:hAnsi="Times New Roman"/>
          <w:color w:val="0E101A"/>
        </w:rPr>
        <w:t>n engineered graphene structures. We plan to take advantage of Mario Amado’s (IP2 of SP2) recent research stay at MGU and involve Michael Hilke, Samuel Huberman and Nicolas Delnour in both theoretical and experimental aspects of the study. They have already been working on the theory of phonon hydrodynamics in low dimensional materials and in the experimental side through temperature- and spatially- resolved Raman measurements.</w:t>
      </w:r>
    </w:p>
    <w:p>
      <w:pPr>
        <w:pStyle w:val="Normal"/>
        <w:spacing w:lineRule="auto" w:line="240" w:before="0" w:after="140"/>
        <w:jc w:val="both"/>
        <w:rPr>
          <w:rFonts w:ascii="Times New Roman" w:hAnsi="Times New Roman" w:eastAsia="Times New Roman" w:cs="Times New Roman"/>
        </w:rPr>
      </w:pPr>
      <w:r>
        <w:rPr>
          <w:rFonts w:eastAsia="Times New Roman" w:cs="Times New Roman" w:ascii="Times New Roman" w:hAnsi="Times New Roman"/>
        </w:rPr>
        <w:t xml:space="preserve">The samples will consist of encapsulated graphene heterostructures, fabricated using the equipment of SP2. Their characterization will be carried out by super-resolved Raman spectroscopy (SuperRRaman), available at MGU. The SuperRRaman system has nm-size lateral resolution, enabling the study of edge effects (topological currents, impurity emergence) and their subsequent correlation with the electrical response. SuperRRaman represents a fundamentally new design in Raman spectroscopy and enables the study of superlattice periodicities, something familiar from the purely electronic perspective but not yet explored phononically. Continuous-wave laser excitation will be used to determine phonon dispersion and to imaging hydrodynamic phonon flow, and allows direct measurement of superlattice periods due to its high spatial resolution with a scan range exceeding mm-size. Both their resolution and their large scan area permit probing nearly one-dimensional (1D) quantum phonon channels throughout different samples that will be fabricated at USAL. These channels are excellent candidates for observing hydrodynamic parabolic velocity profiles in uniform channels. This profile arises from the effective viscosity, which favors a phonon distribution with a maximum at the center that decays quadratically toward the edges [GUR68], where heterostructures that we will grow come into play. During Amado's stay at McGill University, we have already initiated studies on the effects of nanostructuring through triangular antidot lattices on the Raman response of phonons in graphene heterostructures (see right panels in Figure 4). This network of antidot lattices forms the starting point of the collaboration and has already shown promising preliminary results. We plan to extend these investigations to non-contacted samples, avoiding spurious effects from metallic pads, and eventually to contacted devices, where electronic transport and Raman response can be correlated. </w:t>
      </w:r>
    </w:p>
    <w:p>
      <w:pPr>
        <w:pStyle w:val="Normal"/>
        <w:spacing w:lineRule="auto" w:line="240" w:before="0" w:after="140"/>
        <w:jc w:val="both"/>
        <w:rPr>
          <w:rFonts w:ascii="Times New Roman" w:hAnsi="Times New Roman" w:eastAsia="Times New Roman" w:cs="Times New Roman"/>
        </w:rPr>
      </w:pPr>
      <w:r>
        <w:rPr>
          <w:rFonts w:eastAsia="Times New Roman" w:cs="Times New Roman" w:ascii="Times New Roman" w:hAnsi="Times New Roman"/>
        </w:rPr>
        <w:t>The devices will be characterized using the SuperRRaman station in M. Hilke’s optics laboratory. This high-resolution Raman setup is mounted on a vibration-isolated optical table, providing excellent mechanical and thermal stability. The sample is placed in a variable-temperature sample cage, capable of operating from liquid-nitrogen temperature up to 800 K, and isolated from the environment by radiation shields. The system is power- and temperature-dependent, allowing fine control of excitation and measurement conditions. Optical polarizers can be inserted along the optical path, enabling polarization-resolved Raman studies without the use of optical fibers.</w:t>
      </w:r>
    </w:p>
    <w:p>
      <w:pPr>
        <w:pStyle w:val="Normal"/>
        <w:spacing w:lineRule="auto" w:line="240" w:before="0" w:after="240"/>
        <w:jc w:val="both"/>
        <w:rPr>
          <w:rFonts w:ascii="Times New Roman" w:hAnsi="Times New Roman" w:eastAsia="Times New Roman" w:cs="Times New Roman"/>
        </w:rPr>
      </w:pPr>
      <w:r>
        <w:rPr>
          <w:rFonts w:eastAsia="Times New Roman" w:cs="Times New Roman" w:ascii="Times New Roman" w:hAnsi="Times New Roman"/>
        </w:rPr>
        <w:t>From the theoretical perspective, conventional approaches to the collision operator are based on the dual relaxation time approximation introduced by Callaway [CAL59]. The relaxation times associated with normal (non-resistive) and resistive (including Umklapp scattering) processes depend on phonon frequency and crystal temperature. On the other hand, consistent formulations exist for the relaxation times arising from defect and boundary scattering. Building on the experience we have gained over the past few years in electron hydrodynamics, members of SP1, in collaboration with researchers at MGU, will revisit the</w:t>
      </w:r>
      <w:r>
        <w:rPr>
          <w:rFonts w:eastAsia="Arial" w:cs="Arial" w:ascii="Arial" w:hAnsi="Arial"/>
        </w:rPr>
        <w:t xml:space="preserve"> </w:t>
      </w:r>
      <w:r>
        <w:rPr>
          <w:rFonts w:eastAsia="Times New Roman" w:cs="Times New Roman" w:ascii="Times New Roman" w:hAnsi="Times New Roman"/>
        </w:rPr>
        <w:t xml:space="preserve">main assumptions underlying boundary scattering, as we hypothesize that this mechanism crucially determine the hydrodynamic response of phonons in geometries beyond simple channels, such as graphene antidot superlattices. Guidance from the experimental results obtained by SP2 will be essential to complete the theoretical analysis. Once this problem is addressed, we will assess the accuracy of the linear approaches to the full collision operator constructed from </w:t>
      </w:r>
      <w:r>
        <w:rPr>
          <w:rFonts w:eastAsia="Times New Roman" w:cs="Times New Roman" w:ascii="Times New Roman" w:hAnsi="Times New Roman"/>
          <w:i/>
          <w:iCs/>
        </w:rPr>
        <w:t>ab-initio</w:t>
      </w:r>
      <w:r>
        <w:rPr>
          <w:rFonts w:eastAsia="Times New Roman" w:cs="Times New Roman" w:ascii="Times New Roman" w:hAnsi="Times New Roman"/>
        </w:rPr>
        <w:t xml:space="preserve"> data and developed at MGU. Ultimately, following similar approaches to those presented in [SEN21,LUO25], we aim to obtain macroscopic heat transport equations and validate them with experiments in graphene antidot superlattices. </w:t>
      </w:r>
    </w:p>
    <w:p>
      <w:pPr>
        <w:pStyle w:val="Normal"/>
        <w:spacing w:lineRule="auto" w:line="240" w:before="0" w:after="240"/>
        <w:jc w:val="both"/>
        <w:rPr>
          <w:rFonts w:ascii="Times New Roman" w:hAnsi="Times New Roman" w:eastAsia="Times New Roman" w:cs="Times New Roman"/>
        </w:rPr>
      </w:pPr>
      <w:r>
        <w:rPr/>
        <w:drawing>
          <wp:inline distT="0" distB="0" distL="0" distR="0">
            <wp:extent cx="5759450" cy="2057400"/>
            <wp:effectExtent l="0" t="0" r="0" b="0"/>
            <wp:docPr id="9" name="image1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1.png" descr=""/>
                    <pic:cNvPicPr>
                      <a:picLocks noChangeAspect="1" noChangeArrowheads="1"/>
                    </pic:cNvPicPr>
                  </pic:nvPicPr>
                  <pic:blipFill>
                    <a:blip r:embed="rId8"/>
                    <a:stretch>
                      <a:fillRect/>
                    </a:stretch>
                  </pic:blipFill>
                  <pic:spPr bwMode="auto">
                    <a:xfrm>
                      <a:off x="0" y="0"/>
                      <a:ext cx="5759450" cy="2057400"/>
                    </a:xfrm>
                    <a:prstGeom prst="rect">
                      <a:avLst/>
                    </a:prstGeom>
                    <a:noFill/>
                  </pic:spPr>
                </pic:pic>
              </a:graphicData>
            </a:graphic>
          </wp:inline>
        </w:drawing>
      </w:r>
    </w:p>
    <w:p>
      <w:pPr>
        <w:pStyle w:val="Normal"/>
        <w:spacing w:lineRule="auto" w:line="240" w:before="140" w:after="200"/>
        <w:ind w:right="140"/>
        <w:jc w:val="both"/>
        <w:rPr>
          <w:rFonts w:ascii="Times New Roman" w:hAnsi="Times New Roman" w:eastAsia="Times New Roman" w:cs="Times New Roman"/>
          <w:sz w:val="26"/>
          <w:szCs w:val="26"/>
        </w:rPr>
      </w:pPr>
      <w:r>
        <w:rPr>
          <w:rFonts w:eastAsia="Times New Roman" w:cs="Times New Roman" w:ascii="Times New Roman" w:hAnsi="Times New Roman"/>
          <w:b/>
          <w:bCs/>
        </w:rPr>
        <w:t>Figure 4</w:t>
      </w:r>
      <w:r>
        <w:rPr>
          <w:rFonts w:eastAsia="Times New Roman" w:cs="Times New Roman" w:ascii="Times New Roman" w:hAnsi="Times New Roman"/>
        </w:rPr>
        <w:t xml:space="preserve">: Left image: Raman spectroscopy setup at MGU. Right panels show the Raman response in a prepatterned  triangular antidot lattice in a graphene heterostructures where Raman response varies from a region with antidots (highlighted in the SEM image) and in a pristine Hall bar section. </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While M. Amado brings extensive experience in Raman spectroscopy under low-temperature and high-magnetic-field conditions [FAU09,FAU11], M. Hilke and S. Huberman at MGU are leaders in the theoretical and experimental studies of Raman response in graphene and other carbon allotropes, providing the optimal framework for a fruitful collaboration that will lead to interpreting the observed phonon behavior and its dependence on nanostructuring.</w:t>
      </w:r>
    </w:p>
    <w:p>
      <w:pPr>
        <w:pStyle w:val="Normal"/>
        <w:pBdr/>
        <w:spacing w:lineRule="auto" w:line="240" w:before="0" w:after="0"/>
        <w:jc w:val="both"/>
        <w:rPr>
          <w:rFonts w:ascii="Times New Roman" w:hAnsi="Times New Roman" w:eastAsia="Times New Roman" w:cs="Times New Roman"/>
          <w:b/>
          <w:bCs/>
        </w:rPr>
      </w:pPr>
      <w:r>
        <w:rPr>
          <w:rFonts w:eastAsia="Times New Roman" w:cs="Times New Roman" w:ascii="Times New Roman" w:hAnsi="Times New Roman"/>
          <w:b/>
          <w:bCs/>
          <w:color w:val="000000"/>
        </w:rPr>
        <w:t xml:space="preserve">WP2. </w:t>
      </w:r>
      <w:r>
        <w:rPr>
          <w:rFonts w:eastAsia="Times New Roman" w:cs="Times New Roman" w:ascii="Times New Roman" w:hAnsi="Times New Roman"/>
        </w:rPr>
        <w:t xml:space="preserve"> </w:t>
      </w:r>
      <w:r>
        <w:rPr>
          <w:rFonts w:eastAsia="Times New Roman" w:cs="Times New Roman" w:ascii="Times New Roman" w:hAnsi="Times New Roman"/>
          <w:b/>
          <w:bCs/>
        </w:rPr>
        <w:t>Engineered moiré and superconductivity in low-dimensional materials</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Periodic modulations in 2D materials can profoundly reshape the electronic spectrum, giving rise to minibands [WAL13] and fractal structures like the Hofstadter butterfly in a magnetic field [NEM07]. Traditionally, minibands in graphene have been realized by imposing smooth periodic potentials that fold the Dirac cone and reshape the low-energy spectrum, achieved through a variety of methods including chemical patterning [SUN11], self-assembled nanostructures [ZHA18], and naturally occurring moiré patterns in aligned or slightly twisted graphene/hBN heterostructures [YAN12,WAN25]. These moiré superlattices generate long- wavelength modulations that, besides enabling the observation of the Hofstadter’s butterfly, have also allowed the exploration of correlated phenomena in multilayer structures such as MATBG [CAO18].</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While moiré superlattices are usually linked to twist angles or lattice mismatches, periodic nanopatterning can generate an effective moiré potential in graphene [BAR22,MRE23]. External periodic gating also enables synthetic 2D band structures [WAN23]. These modulations confine carriers, seen as commensurability features around antidots [YAG15], and reconstruct the band structure without crystal alignment. Graphene’s high mobility, gate tunability and compatibility with engineered superlattices make it ideal to study the interplay of classical cyclotron motion, miniband formation and quantum interference.</w:t>
      </w:r>
    </w:p>
    <w:p>
      <w:pPr>
        <w:pStyle w:val="Normal"/>
        <w:spacing w:lineRule="auto" w:line="240" w:before="240" w:after="240"/>
        <w:jc w:val="both"/>
        <w:rPr>
          <w:rFonts w:ascii="Times New Roman" w:hAnsi="Times New Roman" w:eastAsia="Times New Roman" w:cs="Times New Roman"/>
          <w:color w:val="FF0000"/>
        </w:rPr>
      </w:pPr>
      <w:r>
        <w:rPr>
          <w:rFonts w:eastAsia="Times New Roman" w:cs="Times New Roman" w:ascii="Times New Roman" w:hAnsi="Times New Roman"/>
        </w:rPr>
        <w:t>There is thus significant scope for both theoretical and experimental exploration in this direction, where modeling the miniband structure and its dependence on the antidot geometry can be directly confronted with transport and spectroscopic measurements in fabricated bilayer graphene superlattices.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Activity 2.1</w:t>
      </w:r>
      <w:r>
        <w:rPr>
          <w:rFonts w:eastAsia="Times New Roman" w:cs="Times New Roman" w:ascii="Times New Roman" w:hAnsi="Times New Roman"/>
        </w:rPr>
        <w:t>. Introducing moiré periodicity by antidot superlattices in Bernal-stacked bilayer graphene. Led by IP2 of SP2 (M. Amado). Research Team: PI1 of SP2 (E. Diez), PI2 of SP1 (L. Chico). R. Molina (SP1), H. Santos (SP1), R. Lima (SP1) and Y. Baba (SP1). Work team of SP1: P. Moles. Work team of SP2: A. Pérez, V. Clericò, P. Canteli and J. Gil.</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In our recent experiments, we have already observed moiré-like effects in ultraclean holey single-layer graphene (see Figure 5), where different antidot sizes were explored. Remarkably, the separation of Hofstadter-like levels depends only on the density of “antiholes” and not on the carrier density, indicating a geometric origin of the miniband modulation. This finding opens a new avenue to search for extended states in Bernal-stacked (natural, non-twisted) graphene, where a combination of an intrinsic gap, arising from the bilayer stacking, and an engineered moiré potential produced by antidot patterning could mimic some of the correlated electronic behavior found in twisted bilayer graphene. The coexistence of a controllable gap and a tunable periodic modulation is expected to yield a rich spectrum of miniband physics, possibly leading to extended or flat states in the density of states analogous to those in TBG.</w:t>
      </w:r>
    </w:p>
    <w:p>
      <w:pPr>
        <w:pStyle w:val="Normal"/>
        <w:spacing w:lineRule="auto" w:line="240" w:before="0" w:after="140"/>
        <w:jc w:val="both"/>
        <w:rPr>
          <w:rFonts w:ascii="Times New Roman" w:hAnsi="Times New Roman" w:eastAsia="Times New Roman" w:cs="Times New Roman"/>
        </w:rPr>
      </w:pPr>
      <w:r>
        <w:rPr>
          <w:rFonts w:eastAsia="Times New Roman" w:cs="Times New Roman" w:ascii="Times New Roman" w:hAnsi="Times New Roman"/>
        </w:rPr>
        <w:t xml:space="preserve">The samples will consist of Hall-bar-shaped encapsulated bilayer graphene heterostructures where antidot superlattices will be nanopatterned using cryo-etching technique. These samples will be similar to the ones already obtained in our group [EST25a] but where the dimensions, arrangement and density of antidots will be modified to maximize the periodic pattern and its associated wavelength. To investigate the effect of moiré periodicity in Bernal-stacked bilayer graphene via etched superimposed antidot lattices, we will perform a thorough low-noise, low-temperature electrical characterization of the samples as a function of external magnetic field, carrier density and arrangement, dimensions and density of the engineered antidots. </w:t>
      </w:r>
    </w:p>
    <w:p>
      <w:pPr>
        <w:pStyle w:val="Normal"/>
        <w:spacing w:lineRule="auto" w:line="240" w:before="0" w:after="140"/>
        <w:jc w:val="both"/>
        <w:rPr>
          <w:rFonts w:ascii="Times New Roman" w:hAnsi="Times New Roman" w:eastAsia="Times New Roman" w:cs="Times New Roman"/>
        </w:rPr>
      </w:pPr>
      <w:r>
        <w:rPr>
          <w:rFonts w:eastAsia="Times New Roman" w:cs="Times New Roman" w:ascii="Times New Roman" w:hAnsi="Times New Roman"/>
        </w:rPr>
        <w:t>To further maximise the transport quality, we will implement and further develop an AFM “ironing” (contact-mode, tip-based mechanical cleaning) protocol on the encapsulated Hall bars to sweep polymer residues, blisters and nm-scale corrugations away from the active channel, thereby minimizing charged-impurity and strain disorder and significantly enhancing mobility. This nano-squeegee approach has repeatedly shown large gains in 2D stacks fabricated via mechanical cleaning of bilayer graphene and hBN-encapsulated devices, significantly lowering doping and raising mobility, and post-processing “ironing” that reduces random strain, affecting both low-T and room-T transport [GOO12,KIM19,KIM24]. We will adapt published force/scan-spacing windows and calibrate via force–distance curves in our setup, a methodology we have recently begun to explore and adapt to our samples, as depicted in the topographical image in Figure 5(b). The results will be validated by EFM/KPFM (Electrostatic Force Microscopy/Kelvin Probe Force Microscopy) via comparative CPD (Contact Potential Difference) landscapes with suppressed charge-puddle contrast, and bias-induced potential-drop maps that trace the active current-carrying paths across the Hall bars and antidot regions [ALT19].</w:t>
      </w:r>
    </w:p>
    <w:p>
      <w:pPr>
        <w:pStyle w:val="Normal"/>
        <w:spacing w:lineRule="auto" w:line="240" w:before="140" w:after="200"/>
        <w:ind w:right="140"/>
        <w:jc w:val="both"/>
        <w:rPr>
          <w:rFonts w:ascii="Times New Roman" w:hAnsi="Times New Roman" w:eastAsia="Times New Roman" w:cs="Times New Roman"/>
        </w:rPr>
      </w:pPr>
      <w:r>
        <w:rPr/>
        <w:drawing>
          <wp:inline distT="0" distB="0" distL="0" distR="0">
            <wp:extent cx="5586730" cy="3657600"/>
            <wp:effectExtent l="0" t="0" r="0" b="0"/>
            <wp:docPr id="10" name="image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8.png" descr=""/>
                    <pic:cNvPicPr>
                      <a:picLocks noChangeAspect="1" noChangeArrowheads="1"/>
                    </pic:cNvPicPr>
                  </pic:nvPicPr>
                  <pic:blipFill>
                    <a:blip r:embed="rId9"/>
                    <a:srcRect l="3050" t="0" r="0" b="0"/>
                    <a:stretch>
                      <a:fillRect/>
                    </a:stretch>
                  </pic:blipFill>
                  <pic:spPr bwMode="auto">
                    <a:xfrm>
                      <a:off x="0" y="0"/>
                      <a:ext cx="5586730" cy="3657600"/>
                    </a:xfrm>
                    <a:prstGeom prst="rect">
                      <a:avLst/>
                    </a:prstGeom>
                    <a:noFill/>
                  </pic:spPr>
                </pic:pic>
              </a:graphicData>
            </a:graphic>
          </wp:inline>
        </w:drawing>
      </w:r>
      <w:r>
        <w:rPr>
          <w:rFonts w:eastAsia="Times New Roman" w:cs="Times New Roman" w:ascii="Times New Roman" w:hAnsi="Times New Roman"/>
          <w:b/>
          <w:bCs/>
        </w:rPr>
        <w:t>Figure 5</w:t>
      </w:r>
      <w:r>
        <w:rPr>
          <w:rFonts w:eastAsia="Times New Roman" w:cs="Times New Roman" w:ascii="Times New Roman" w:hAnsi="Times New Roman"/>
        </w:rPr>
        <w:t xml:space="preserve">: (a) Sketch of a typical Hall bar displaying several regions of antidots with different values for their diameter Φ. (b) Topographic AFM scan in dynamic mode of a 9nm thick graphene flake revealing a region ironed in contact mode (highlighted with a yellow arrow), with an inset showing a height profile of the flake. The ironed area shows a significant decrease in the amount of surface adsorbates and bubbles compared to the non-ironed surrounding surface, potentially improving the homogeneity of the interface and therefore the quality of the heterostructure. (c) Longitudinal resistance as a function of external magnetic field for the Φ = 100 nm lattice at different carrier densities. Additional equidistant features (solid symbols) appear atop the main commensurability peaks, not attributable to Landau levels or classical orbits. (d) The average spacing ΔB, extracted for lattices with Φ = 50, 75, and 150 nm, remains constant across carrier densities, indicating that these features are intrinsic to the lattice parameter </w:t>
      </w:r>
      <w:r>
        <w:rPr>
          <w:rFonts w:eastAsia="Times New Roman" w:cs="Times New Roman" w:ascii="Times New Roman" w:hAnsi="Times New Roman"/>
          <w:i/>
          <w:iCs/>
        </w:rPr>
        <w:t>a</w:t>
      </w:r>
      <w:r>
        <w:rPr>
          <w:rFonts w:eastAsia="Times New Roman" w:cs="Times New Roman" w:ascii="Times New Roman" w:hAnsi="Times New Roman"/>
        </w:rPr>
        <w:t>, corresponding to an antidot density n</w:t>
      </w:r>
      <w:r>
        <w:rPr>
          <w:rFonts w:eastAsia="Times New Roman" w:cs="Times New Roman" w:ascii="Times New Roman" w:hAnsi="Times New Roman"/>
          <w:vertAlign w:val="subscript"/>
        </w:rPr>
        <w:t>0</w:t>
      </w:r>
      <w:r>
        <w:rPr>
          <w:rFonts w:eastAsia="Times New Roman" w:cs="Times New Roman" w:ascii="Times New Roman" w:hAnsi="Times New Roman"/>
        </w:rPr>
        <w:t>=1/(2Φ)</w:t>
      </w:r>
      <w:r>
        <w:rPr>
          <w:rFonts w:eastAsia="Times New Roman" w:cs="Times New Roman" w:ascii="Times New Roman" w:hAnsi="Times New Roman"/>
          <w:vertAlign w:val="superscript"/>
        </w:rPr>
        <w:t>2</w:t>
      </w:r>
      <w:r>
        <w:rPr>
          <w:rFonts w:eastAsia="Times New Roman" w:cs="Times New Roman" w:ascii="Times New Roman" w:hAnsi="Times New Roman"/>
        </w:rPr>
        <w:t>.</w:t>
      </w:r>
    </w:p>
    <w:p>
      <w:pPr>
        <w:pStyle w:val="Normal"/>
        <w:spacing w:lineRule="auto" w:line="240" w:before="0" w:after="140"/>
        <w:jc w:val="both"/>
        <w:rPr>
          <w:rFonts w:ascii="Times New Roman" w:hAnsi="Times New Roman" w:eastAsia="Times New Roman" w:cs="Times New Roman"/>
        </w:rPr>
      </w:pPr>
      <w:r>
        <w:rPr>
          <w:rFonts w:eastAsia="Times New Roman" w:cs="Times New Roman" w:ascii="Times New Roman" w:hAnsi="Times New Roman"/>
          <w:b/>
          <w:bCs/>
        </w:rPr>
        <w:t>Activity 2.2</w:t>
      </w:r>
      <w:r>
        <w:rPr>
          <w:rFonts w:eastAsia="Times New Roman" w:cs="Times New Roman" w:ascii="Times New Roman" w:hAnsi="Times New Roman"/>
        </w:rPr>
        <w:t>. Moiré competition in holey twisted bilayer graphene. Led by PI2 of SP2 (M. Amado). Research Team: PI1 of SP2 (E. Diez), PI2 of SP1 (L. Chico), R. Molina (SP1), H. Santos (SP1), R. Lima (SP1) and Y. Baba (SP1). Work team of SP1: P. Moles. Work team of SP2: A. Pérez, V. Clericò, P. Canteli, J. Gil, hired Postdoctoral Research Assistant and FPI2.</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Building on the results obtained in Activity 2.1, where we aim to demonstrate miniband formation induced by engineered moiré potentials in bilayer graphene through antidot lattices, the next step is to extend the concept to MATBG. In this system, the interplay between two distinct moiré periodicities, one intrinsic to the twist and another externally imposed by nanopatterning, opens a regime of “super-moiré physics” that remains largely unexplored. In MATBG, the twist between layers (≈1.1°) generates a natural moiré wavelength of about 14 nm, producing flat electronic bands and correlated states, including superconductivity. By introducing an additional antidot lattice with a larger periodicity (≈50 nm), we deliberately superimpose a second, independent modulation on top of the intrinsic moiré. The competition between these two periodicities is expected to reconstruct the local electronic potential, leading to a complex miniband landscape where flat bands, extended states and potentially new correlated phases may coexist.</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 xml:space="preserve">From a conceptual point of view, the antidot lattice acts as an engineered superlattice potential whose strength and symmetry can be tuned geometrically, via the hole diameter, spacing and arrangement, rather than electronically. This opens a pathway to probe how superconducting Cooper pairs in TBG respond to an externally imposed periodic potential. The antidot array can serve as a controllable source of spatial phase modulation: under an applied magnetic field, Cooper pairs experience scattering and phase accumulation around the holes, potentially altering the Fraunhofer interference pattern and the associated Josephson response. Artificial vortex-pinning landscapes based on antidot arrays have been widely used in conventional and high-Tc thin-film superconductors to probe vortex matter, optimize critical currents [BER06a,SAD17] and explore commensurability effects [BER06b]. In such systems, the optimal antidot pitch is chosen by matching the applied magnetic flux per unit cell of the antidot lattice to integer multiples of the superconducting flux quantum, a criterion validated across many different superconducting materials [BAE95,KUM15]. This matching condition follows from the quantization of vortex flux and sets the field at which vortices populate each antidot in an energetically favorable manner. Once this field–geometry relation is fixed, the vortex lattice locks to the antidot array, producing sharp features in magnetoresistance, critical current and magnetization that reflect the microscopic structure of the vortex cores and vortex–vortex interactions. In the context of MATBG, such a controlled pinning environment would offer a uniquely powerful route to probe the superconducting state. Because the internal structure of vortices depends sensitively on the symmetry and multicomponent character of the order parameter, pinned vortex arrays allow one to measure quantities, such as the field dependence of the critical current, vortex-core compressibility and anisotropic commensurability oscillations, that differ dramatically between competing theoretical scenarios. For example, nematic superconductors predict anisotropic vortex-core shapes and twofold- anisotropic matching signatures [SON23], while chiral </w:t>
      </w:r>
      <w:r>
        <w:rPr>
          <w:rFonts w:eastAsia="Times New Roman" w:cs="Times New Roman" w:ascii="Times New Roman" w:hAnsi="Times New Roman"/>
          <w:i/>
          <w:iCs/>
        </w:rPr>
        <w:t>d</w:t>
      </w:r>
      <w:r>
        <w:rPr>
          <w:rFonts w:eastAsia="Times New Roman" w:cs="Times New Roman" w:ascii="Times New Roman" w:hAnsi="Times New Roman"/>
          <w:vertAlign w:val="subscript"/>
        </w:rPr>
        <w:t>x</w:t>
      </w:r>
      <w:r>
        <w:rPr>
          <w:rFonts w:eastAsia="Times New Roman" w:cs="Times New Roman" w:ascii="Times New Roman" w:hAnsi="Times New Roman"/>
        </w:rPr>
        <w:t>+i</w:t>
      </w:r>
      <w:r>
        <w:rPr>
          <w:rFonts w:eastAsia="Times New Roman" w:cs="Times New Roman" w:ascii="Times New Roman" w:hAnsi="Times New Roman"/>
          <w:i/>
          <w:iCs/>
        </w:rPr>
        <w:t>d</w:t>
      </w:r>
      <w:r>
        <w:rPr>
          <w:rFonts w:eastAsia="Times New Roman" w:cs="Times New Roman" w:ascii="Times New Roman" w:hAnsi="Times New Roman"/>
          <w:vertAlign w:val="subscript"/>
        </w:rPr>
        <w:t>y</w:t>
      </w:r>
      <w:r>
        <w:rPr>
          <w:rFonts w:eastAsia="Times New Roman" w:cs="Times New Roman" w:ascii="Times New Roman" w:hAnsi="Times New Roman"/>
        </w:rPr>
        <w:t xml:space="preserve"> states produce circulating bound currents and unconventional core energy scales [YOS25]. Multigap or intervalley-singlet scenarios imply two characteristic coherence lengths, which in turn modify the stability and field evolution of the pinned vortex lattice [MOS09]. Thus, systematic measurements of vortex behavior in antidot-pinned MATBG devices could provide direct empirical discrimination among the principal proposed superconducting mechanisms. </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Theoretical modelling of the miniband formation in TBG taking into account the geometrical details of the antidot arrangement will guide the experimental design and appropriate theoretical extensions of Ginzburg-Landau theory, tailored to the different superconducting mechanisms proposed, will help the interpretation of the experimental results.  On the experimental side, particular attention will be devoted to preserving the twist angle integrity during nanopatterning, as local strain or relaxation induced by cryo-etching could slightly modify the interlayer alignment. The tear-and-stack method will be used to assemble TBG samples with magic or near-magic angles, followed by encapsulation in hBN and top/bottom gating. To experimentally validate this activity, we will perform similar low-noise, low-temperature electrical characterization of the samples as previously discussed, again as a function of external magnetic field, carrier density and arrangement, dimensions and density of the engineered antidots.</w:t>
      </w:r>
    </w:p>
    <w:p>
      <w:pPr>
        <w:pStyle w:val="Normal"/>
        <w:spacing w:lineRule="auto" w:line="240" w:before="0" w:after="0"/>
        <w:jc w:val="both"/>
        <w:rPr>
          <w:rFonts w:ascii="Times New Roman" w:hAnsi="Times New Roman" w:eastAsia="Times New Roman" w:cs="Times New Roman"/>
          <w:highlight w:val="white"/>
        </w:rPr>
      </w:pPr>
      <w:r>
        <w:rPr>
          <w:rFonts w:eastAsia="Times New Roman" w:cs="Times New Roman" w:ascii="Times New Roman" w:hAnsi="Times New Roman"/>
          <w:b/>
          <w:bCs/>
          <w:highlight w:val="white"/>
        </w:rPr>
        <w:t>Activity 2.3</w:t>
      </w:r>
      <w:r>
        <w:rPr>
          <w:rFonts w:eastAsia="Times New Roman" w:cs="Times New Roman" w:ascii="Times New Roman" w:hAnsi="Times New Roman"/>
          <w:highlight w:val="white"/>
        </w:rPr>
        <w:t>. Strain engineering in  holey twisted-bilayer graphene Led by IP1 of SP2 (E. Diez). Research Team: PI2 of SP2 (M. Amado), PI2 of SP1 (L. Chico), R. Molina, Y Baba (SP1). Work team of SP1: P. Moles. Work team of SP2: A. Pérez, V. Clericò, J. Gil, M Hilke, N. Delnour and FPI-SP2.</w:t>
      </w:r>
    </w:p>
    <w:p>
      <w:pPr>
        <w:pStyle w:val="Normal"/>
        <w:spacing w:lineRule="auto" w:line="240" w:before="0" w:after="0"/>
        <w:jc w:val="both"/>
        <w:rPr>
          <w:rFonts w:ascii="Times New Roman" w:hAnsi="Times New Roman" w:eastAsia="Times New Roman" w:cs="Times New Roman"/>
          <w:highlight w:val="white"/>
        </w:rPr>
      </w:pPr>
      <w:r>
        <w:rPr>
          <w:rFonts w:eastAsia="Times New Roman" w:cs="Times New Roman" w:ascii="Times New Roman" w:hAnsi="Times New Roman"/>
          <w:highlight w:val="white"/>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Thermal mismatch strain engineering has emerged as a powerful approach for tuning low-temperature phenomena in 2D materials. This method exploits the differential thermal expansion between a crystal and its substrate. The high thermal expansion coefficient and Young's modulus of polycarbonate (PC)  make this polymer particularly effective for the transfer of biaxial compressive strain to 2D materials when samples are cooled down to cryogenic temperatures [HEN25,HOU25]. A problem is that the PC is not compatible with standard lithography processing nor with our dry-transfer method to fabricate heterostructures. Here, in collaboration with the research groups of Reyes Calvo from the Basque Center of Materials and Andrés Castellanos from ICMM-CSIC (Madrid),  we will explore also a new polymer so-called </w:t>
      </w:r>
      <w:hyperlink r:id="rId10">
        <w:r>
          <w:rPr>
            <w:rStyle w:val="Style3"/>
            <w:rFonts w:eastAsia="Times New Roman" w:cs="Times New Roman" w:ascii="Times New Roman" w:hAnsi="Times New Roman"/>
            <w:color w:val="1155CC"/>
            <w:u w:val="single"/>
          </w:rPr>
          <w:t>TOPAS ©</w:t>
        </w:r>
      </w:hyperlink>
      <w:r>
        <w:rPr>
          <w:rFonts w:eastAsia="Times New Roman" w:cs="Times New Roman" w:ascii="Times New Roman" w:hAnsi="Times New Roman"/>
        </w:rPr>
        <w:t xml:space="preserve"> (patented by Advanced Polymers GmbH) with similar thermal expansion coefficient and Young’s modulus that of PC. As Si/SiO</w:t>
      </w:r>
      <w:r>
        <w:rPr>
          <w:rFonts w:eastAsia="Times New Roman" w:cs="Times New Roman" w:ascii="Times New Roman" w:hAnsi="Times New Roman"/>
          <w:vertAlign w:val="subscript"/>
        </w:rPr>
        <w:t>2</w:t>
      </w:r>
      <w:r>
        <w:rPr>
          <w:rFonts w:eastAsia="Times New Roman" w:cs="Times New Roman" w:ascii="Times New Roman" w:hAnsi="Times New Roman"/>
        </w:rPr>
        <w:t xml:space="preserve"> has a tiny thermal expansion coefficient, samples from Activities 2.1 and 2.2 will work as control samples at zero strain. Lowering the temperature in the TOPAS and PC samples we will study the effects of thermal strain in the electronic and transport properties of our moiré samples. We will electrically characterize the stacks similar to the one studied in the previous activities of WP2, but now transferred over TOPAS and PC substrates. Strain as a function of temperature is expected to be assessed by SuperRRaman characterization at McGill.  This activity will be closely related to the Activity 3.2 of WP3 where the effects of strain in the electronic properties of 2D materials will be investigated by members of SP1.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pBd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 xml:space="preserve">Activity 2.4 </w:t>
      </w:r>
      <w:r>
        <w:rPr>
          <w:rFonts w:eastAsia="Times New Roman" w:cs="Times New Roman" w:ascii="Times New Roman" w:hAnsi="Times New Roman"/>
        </w:rPr>
        <w:t>Topological superconductivity in semiDirac materials. Led by R. Molina (SP1). Research Team: Y. Baba (SP1) and M. Amado (PI2 of SP2). Work team of SP2: M. García.</w:t>
      </w:r>
    </w:p>
    <w:p>
      <w:pPr>
        <w:pStyle w:val="Normal"/>
        <w:pBd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Throughout this activity, we will theoretically investigate the interplay between superconductivity and topology in systems described by semi-Dirac Hamiltonians. Candidate platforms include ZrSiS [SHA24], TiO</w:t>
      </w:r>
      <w:r>
        <w:rPr>
          <w:rFonts w:eastAsia="Times New Roman" w:cs="Times New Roman" w:ascii="Times New Roman" w:hAnsi="Times New Roman"/>
          <w:vertAlign w:val="subscript"/>
        </w:rPr>
        <w:t>2</w:t>
      </w:r>
      <w:r>
        <w:rPr>
          <w:rFonts w:eastAsia="Times New Roman" w:cs="Times New Roman" w:ascii="Times New Roman" w:hAnsi="Times New Roman"/>
        </w:rPr>
        <w:t>/VO</w:t>
      </w:r>
      <w:r>
        <w:rPr>
          <w:rFonts w:eastAsia="Times New Roman" w:cs="Times New Roman" w:ascii="Times New Roman" w:hAnsi="Times New Roman"/>
          <w:vertAlign w:val="subscript"/>
        </w:rPr>
        <w:t>2</w:t>
      </w:r>
      <w:r>
        <w:rPr>
          <w:rFonts w:eastAsia="Times New Roman" w:cs="Times New Roman" w:ascii="Times New Roman" w:hAnsi="Times New Roman"/>
        </w:rPr>
        <w:t xml:space="preserve"> heterostructures, modified silicene and even synthetic materials. These materials exhibit an anisotropic electronic structure, where quasiparticles behave as massless Dirac fermions along a specific direction of motion and as massive particles along the perpendicular one. When finite-width geometries are considered, edge states may emerge when band inversion mechanisms are in place. They are predominantly localized on a single boundary and with momentum-dependent topological properties [GAR25]. Following the established methodologies used in Bernevig-Hughes- Zhang-type models in nanowire platforms [ORE10], we aim to investigate how these particular edge states can be coupled when the material is placed in proximity to a s-wave conventional superconductor. We expect that the combination of the Rashba spin-orbit coupling and a Zeeman field in this system yields the emergence of effective p-wave pairing between edge states. Special attention will be devoted to identifying parameter regimes that support zero-energy localized states and to evaluating their robustness. </w:t>
      </w:r>
    </w:p>
    <w:p>
      <w:pPr>
        <w:pStyle w:val="Normal"/>
        <w:pBd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pBdr/>
        <w:spacing w:lineRule="auto" w:line="240" w:before="0" w:after="0"/>
        <w:jc w:val="both"/>
        <w:rPr>
          <w:rFonts w:ascii="Times New Roman" w:hAnsi="Times New Roman" w:eastAsia="Times New Roman" w:cs="Times New Roman"/>
          <w:highlight w:val="yellow"/>
        </w:rPr>
      </w:pPr>
      <w:r>
        <w:rPr>
          <w:rFonts w:eastAsia="Times New Roman" w:cs="Times New Roman" w:ascii="Times New Roman" w:hAnsi="Times New Roman"/>
          <w:b/>
          <w:bCs/>
          <w:color w:val="000000"/>
        </w:rPr>
        <w:t xml:space="preserve">WP3. </w:t>
      </w:r>
      <w:r>
        <w:rPr>
          <w:rFonts w:eastAsia="Times New Roman" w:cs="Times New Roman" w:ascii="Times New Roman" w:hAnsi="Times New Roman"/>
          <w:b/>
          <w:bCs/>
        </w:rPr>
        <w:t>Time-driven and symmetry engineering of low-dimensional systems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Low-dimensional materials offer a rich platform for discovering new properties and phenomena. Beyond quantum size effects, symmetry engineering, i.e., controlled symmetry breaking, has broadened the ways to tune material behavior, revealing unconventional electronic transport responses with both fundamental and technological relevance. This symmetry manipulation can arise from geometric features, as in twisted 2D materials, or from intrinsic crystal structures that lack inversion or mirror symmetries, such as pentamaterials or certain TMDs. In all cases, reduced symmetry enables electrical and optical effects, including the bulk photovoltaic effect, that are absent in more symmetric systems.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Tuning the spatial symmetries by external means allows for controlling the physical responses of the materials. We already mentioned twisting layered materials, a thriving research topic nowadays, moving from graphene to 2D oxides and a plethora of low-dimensional systems. Another way to reduce symmetry by altering the geometry is to apply stress in the system. Inhomogeneous strain lowers the symmetry of the systems and introduces another degree of freedom to modify the physical behavior of the material. This has led to the field of straintronics, a way to modify the electronic and transport properties by controlled deformations.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Spatial symmetries or external fields can also be a way to detect and exploit bound states in the continuum (BICs). These spatially localized states have energies within a continuum of propagating modes, and by breaking the symmetry of the system, either by changing the geometry or by an external gate potential, they can be coupled to these propagating modes and show signatures in the transport properties of the system. </w:t>
      </w:r>
    </w:p>
    <w:p>
      <w:pPr>
        <w:pStyle w:val="Normal"/>
        <w:pBdr/>
        <w:spacing w:lineRule="auto" w:line="240" w:before="0" w:after="0"/>
        <w:jc w:val="both"/>
        <w:rPr>
          <w:rFonts w:ascii="Times New Roman" w:hAnsi="Times New Roman" w:eastAsia="Times New Roman" w:cs="Times New Roman"/>
          <w:b/>
          <w:bCs/>
        </w:rPr>
      </w:pPr>
      <w:r>
        <w:rPr>
          <w:rFonts w:eastAsia="Times New Roman" w:cs="Times New Roman" w:ascii="Times New Roman" w:hAnsi="Times New Roman"/>
          <w:b/>
          <w:bCs/>
        </w:rPr>
      </w:r>
    </w:p>
    <w:p>
      <w:pPr>
        <w:pStyle w:val="Normal"/>
        <w:pBd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Activity 3.1</w:t>
      </w:r>
      <w:r>
        <w:rPr>
          <w:rFonts w:eastAsia="Times New Roman" w:cs="Times New Roman" w:ascii="Times New Roman" w:hAnsi="Times New Roman"/>
        </w:rPr>
        <w:t xml:space="preserve">. Quantum transport and magnetism in symmetry-engineered materials. Led by IP2 of SP1 (L. Chico). Research team: F. Domínguez-Adame, A. Relaño, R. Molina, H. Santos and R. Lima. Work team of SP1: P. Moles, E. Suárez-Morell, M. Pacheco, A. Latgé and L. Lage. </w:t>
      </w:r>
    </w:p>
    <w:p>
      <w:pPr>
        <w:pStyle w:val="Normal"/>
        <w:pBd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We have previously characterized theoretically the electronic structure of collapsed chiral carbon nanotubes, 1D moiré materials, both with </w:t>
      </w:r>
      <w:r>
        <w:rPr>
          <w:rFonts w:eastAsia="Times New Roman" w:cs="Times New Roman" w:ascii="Times New Roman" w:hAnsi="Times New Roman"/>
          <w:i/>
          <w:iCs/>
        </w:rPr>
        <w:t>ab-initio</w:t>
      </w:r>
      <w:r>
        <w:rPr>
          <w:rFonts w:eastAsia="Times New Roman" w:cs="Times New Roman" w:ascii="Times New Roman" w:hAnsi="Times New Roman"/>
        </w:rPr>
        <w:t xml:space="preserve"> methods for small system sizes, i.e., large twist angles, and tight-binding models parametrized from the Density Functional Theory (DFT) results for smaller twist angles [ARR20,ARR23]. We have verified that the density of states starts to build up at the AA regions, with direct stacking, without showing a clear band flattening. Therefore, if reaching the magic angle is computationally challenging, we expect to obtain meaningful results at larger angles. Now we aim at the exploration of quantum electronic transport in collapsed nanotubes, building from the successful semiempirical models we derived and employing the Landauer-Büttiker formalism. Our goal is to get as close as possible to the magic angle. We will analyze the quantum transport characteristics, the relation between stacking and transport regions and electron localization of moiré flat-band systems upon band flattening. </w:t>
      </w:r>
    </w:p>
    <w:p>
      <w:pPr>
        <w:pStyle w:val="Normal"/>
        <w:spacing w:lineRule="auto" w:line="240" w:before="0" w:after="0"/>
        <w:jc w:val="both"/>
        <w:rPr>
          <w:rFonts w:ascii="Times New Roman" w:hAnsi="Times New Roman" w:eastAsia="Times New Roman" w:cs="Times New Roman"/>
          <w:u w:val="single"/>
        </w:rPr>
      </w:pPr>
      <w:r>
        <w:rPr>
          <w:rFonts w:eastAsia="Times New Roman" w:cs="Times New Roman" w:ascii="Times New Roman" w:hAnsi="Times New Roman"/>
          <w:u w:val="single"/>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We have a strong record on the study of systems with low symmetries, such as pentamaterials [BRA21,NUÑ24] and multilayers of carbon-based materials [PER24]. Besides double-twisted trilayer of graphene, we have also recently investigated bilayer biphenylene, with sliding-induced topological transitions [LAG24]. We plan to continue with the exploration of the electronic properties and symmetries of these materials and also of novel related systems, such as 2D pentagonal metallic polynitrides, XN</w:t>
      </w:r>
      <w:r>
        <w:rPr>
          <w:rFonts w:eastAsia="Times New Roman" w:cs="Times New Roman" w:ascii="Times New Roman" w:hAnsi="Times New Roman"/>
          <w:vertAlign w:val="subscript"/>
        </w:rPr>
        <w:t>8</w:t>
      </w:r>
      <w:r>
        <w:rPr>
          <w:rFonts w:eastAsia="Times New Roman" w:cs="Times New Roman" w:ascii="Times New Roman" w:hAnsi="Times New Roman"/>
        </w:rPr>
        <w:t xml:space="preserve">, (X = Mg, Ca, Sr, …), a recently proposed family of materials which represent the first realization of the type-5 pentagonal tessellation of the plane [DU23]. They show a completely flat band coexisting with a pair of Dirac cones symmetrically situated with respect to the Fermi energy. Our goal is to elucidate the effect of interlayer coupling and bilayer geometries in carbon-based and pentagonal multilayer systems, their nontrivial topological properties and their relation to the modification of their symmetries.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We have previously studied how symmetry-breaking phases emerge from unitary quantum evolution [COR21] and what is the thermalization mechanism under such circumstances [GOM25b]. We plan to apply these findings to predict the emergence of ferromagnetic parity-breaking equilibrium states in 1D spin chains with long-range interactions, focusing on the weak long-range regime, in which ferromagnetic pre-thermal states and domain wall confinement have been observed in experiments [TAN21]. Our goal is to take advantage of our previous results to design optimal protocols to engineer symmetry-breaking states with very large survival times. Preliminary calculations suggest that it is possible to extend such protocols to high-lying excited-states, even in the absence of a ferromagnetic phase. In a further stage, we plan to generalize these results to 2D systems. </w:t>
      </w:r>
    </w:p>
    <w:p>
      <w:pPr>
        <w:pStyle w:val="Normal"/>
        <w:spacing w:lineRule="auto" w:line="240" w:before="0" w:after="0"/>
        <w:jc w:val="both"/>
        <w:rPr>
          <w:rFonts w:ascii="Times New Roman" w:hAnsi="Times New Roman" w:eastAsia="Times New Roman" w:cs="Times New Roman"/>
          <w:b/>
          <w:bCs/>
        </w:rPr>
      </w:pPr>
      <w:r>
        <w:rPr>
          <w:rFonts w:eastAsia="Times New Roman" w:cs="Times New Roman" w:ascii="Times New Roman" w:hAnsi="Times New Roman"/>
          <w:b/>
          <w:bCs/>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Activity 3.2</w:t>
      </w:r>
      <w:r>
        <w:rPr>
          <w:rFonts w:eastAsia="Times New Roman" w:cs="Times New Roman" w:ascii="Times New Roman" w:hAnsi="Times New Roman"/>
        </w:rPr>
        <w:t>. Tuning localized and topological states in low-dimensional systems. Led by IP2 of SP1 (L. Chico). Research team: F. Domínguez-Adame, A. Relaño, R. Molina, H. Santos, R. Lima.  Work team of SP1: D. Martínez and P. Moles.</w:t>
      </w:r>
    </w:p>
    <w:p>
      <w:pPr>
        <w:pStyle w:val="Normal"/>
        <w:pBd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Dynamical modification of the twist angle in a bilayer system is possible, as shown by Ribeiro-Palau </w:t>
      </w:r>
      <w:r>
        <w:rPr>
          <w:rFonts w:eastAsia="Times New Roman" w:cs="Times New Roman" w:ascii="Times New Roman" w:hAnsi="Times New Roman"/>
          <w:i/>
          <w:iCs/>
        </w:rPr>
        <w:t>et al</w:t>
      </w:r>
      <w:r>
        <w:rPr>
          <w:rFonts w:eastAsia="Times New Roman" w:cs="Times New Roman" w:ascii="Times New Roman" w:hAnsi="Times New Roman"/>
        </w:rPr>
        <w:t>. in a rotatable bilayer device [RIB18], but in most cases it is not easy to modify the twist angle in a given sample. However, by applying a heterostrain in a bilayer, the moiré pattern and the physical behavior of the device can be controllably altered. Additionally, biaxial heterostrain lowers the symmetry of the structure inducing one-dimensional channels. We aim to explore the quantum transport properties of heterostrained graphene bilayers, clarifying the onset of preferential conduction channels and the emergence of flat band physics by controlled deformation of the lattice, with the goal to present a system of potential interest in the thriving field of 2D straintronics.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240"/>
        <w:jc w:val="both"/>
        <w:rPr>
          <w:rFonts w:ascii="Times New Roman" w:hAnsi="Times New Roman" w:eastAsia="Times New Roman" w:cs="Times New Roman"/>
        </w:rPr>
      </w:pPr>
      <w:r>
        <w:rPr>
          <w:rFonts w:eastAsia="Times New Roman" w:cs="Times New Roman" w:ascii="Times New Roman" w:hAnsi="Times New Roman"/>
        </w:rPr>
        <w:t xml:space="preserve">Twisted bilayer graphene can be tuned to present magic angle behavior by strain [HOU25]. In WP2 we propose to tune the electronic and superconducting properties of holey TBG  by thermal strain, which induces a biaxial strain in the system. In WP3 we plan to study the electronic properties of an antidot-patterned bilayer graphene, and the modification of its electronic properties via strain, focusing on the localized edge states arising from both magic angle localization and edges resulting from the antidot patterning. The effects of homogeneous and heterostrain will be considered, with the ultimate goal of modeling the systems described in Activity 2.3.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In order to reveal a BIC in a transport measurement, it is necessary to couple it to the continuum of propagating states, by breaking the symmetry that produces its spatial localization [MAR25]. This can be achieved by external electric or magnetic fields, and also by tuning the Rashba spin-orbit interaction of the materials composing the device, either by electric fields or by strain. Specifically, we will explore the existence of topologically protected BICs by coupling a finite Su–Schrieffer–Heeger (SSH) chain to a metallic lead. These states manifest through distinctive features in the system’s electrical response, providing a direct signature of their topological origin. The inherent robustness of such topologically protected states underscores their potential relevance for fault-tolerant quantum information processing and for designing advanced electronic and photonic devices. We also plan to extend the study of topological BICs to other systems, such as the Creutz lattice, as a starting point to understand  their dynamics when subject to AC fields (see Activity 3.3).</w:t>
      </w:r>
    </w:p>
    <w:p>
      <w:pPr>
        <w:pStyle w:val="Normal"/>
        <w:pBd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pBd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Activity 3.3</w:t>
      </w:r>
      <w:r>
        <w:rPr>
          <w:rFonts w:eastAsia="Times New Roman" w:cs="Times New Roman" w:ascii="Times New Roman" w:hAnsi="Times New Roman"/>
        </w:rPr>
        <w:t>. Time-driven engineering of quantum materials. Led by IP1 of SP1 (F. Domínguez-Adame). Research team: R. Molina, Y. Baba. Work team of SP1: A. López and D. Martínez.</w:t>
      </w:r>
    </w:p>
    <w:p>
      <w:pPr>
        <w:pStyle w:val="Normal"/>
        <w:widowControl w:val="false"/>
        <w:pBd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widowControl w:val="false"/>
        <w:pBd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Topological materials are of great interest because of their tunable electronic properties, and periodic driving offers a way to dynamically control them. This project will study the SSH chain as a one-dimensional topological system, using high-frequency driving and modulated pulses to induce and switch Floquet topological phases. Through a Kramers–Henneberger– type transformation, we map the Floquet sidebands onto an effective Hamiltonian. Preliminary results indicate that both monochromatic and experimentally feasible pulse schemes (Gaussian and fast-beating) create topological edge states, with fast-beating pulses requiring much lower field strengths.</w:t>
      </w:r>
    </w:p>
    <w:p>
      <w:pPr>
        <w:pStyle w:val="Normal"/>
        <w:widowControl w:val="false"/>
        <w:pBd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widowControl w:val="false"/>
        <w:pBd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During a recent research visit to the University of Warwick under the supervision of Rudolf Roemer, Dunkan Martínez investigated the robustness of the SSH chain topological states under diagonal (chiral-breaking) and off-diagonal (chiral-preserving) disorder, using the spectral localizer and winding marker for characterization. Although the conclusions are still being finalized, the results are expected to be submitted for publication soon. In this Activity, we aim to test these tools when the SSH chain is affected not only by disorder but also by an alternating electric field. As a starting point, we will build on the analysis reported in [PER19], which studies specific cases of off-diagonal disorder. Our goal is to determine whether a simple model like the SSH chain can be used to control a disorder-driven topological transition; if successful, we will extend the study to Creutz chains relevant to flat-band superconductivity [MON18].</w:t>
      </w:r>
    </w:p>
    <w:p>
      <w:pPr>
        <w:pStyle w:val="Normal"/>
        <w:pBd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pBd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We intend to understand how surface and edge states emerge when a finite pulse drives a system into a topological phase. While Floquet-periodic driving is well understood, our focus will be on time-dependent amplitudes (e.g., Gaussian pulses) that take a system from an initial trivial phase to amplitudes that, in the periodic case, trigger topological transitions. For finite systems, edge states should appear through bulk–boundary correspondence. We will begin with simple 1D models like the SSH chain and then move to realistic topological materials, including the Bernevig–Hughes–Zhang model (2D) and Weyl semimetals (3D) [GON16]. The Floquet </w:t>
      </w:r>
      <w:r>
        <w:rPr>
          <w:rFonts w:eastAsia="Times New Roman" w:cs="Times New Roman" w:ascii="Times New Roman" w:hAnsi="Times New Roman"/>
          <w:i/>
          <w:iCs/>
        </w:rPr>
        <w:t>t</w:t>
      </w:r>
      <w:r>
        <w:rPr>
          <w:rFonts w:eastAsia="Times New Roman" w:cs="Times New Roman" w:ascii="Times New Roman" w:hAnsi="Times New Roman"/>
        </w:rPr>
        <w:t>–</w:t>
      </w:r>
      <w:r>
        <w:rPr>
          <w:rFonts w:eastAsia="Times New Roman" w:cs="Times New Roman" w:ascii="Times New Roman" w:hAnsi="Times New Roman"/>
          <w:i/>
          <w:iCs/>
        </w:rPr>
        <w:t>t</w:t>
      </w:r>
      <w:r>
        <w:rPr>
          <w:rFonts w:eastAsia="Times New Roman" w:cs="Times New Roman" w:ascii="Times New Roman" w:hAnsi="Times New Roman"/>
        </w:rPr>
        <w:t>′ formalism will be used, which we have shown remains accurate even for short pulses [BAB25a,GOM25a], except for anomalous Floquet states [GOM24]. Since these anomalous phases arise from band inversion between Floquet replicas rather than parameter renormalization, systems exhibiting them will be treated using time-evolution methods based on canonical transformations.</w:t>
      </w:r>
    </w:p>
    <w:p>
      <w:pPr>
        <w:pStyle w:val="Normal"/>
        <w:pBd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pBd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We have recently proposed a thermalization mechanism for symmetry-breaking equilibrium states [GOM25b]. We plan to derive a generalization applicable to Floquet-periodic driving. Our main objective is to understand under which circumstances such time driving does not heat the system, leading it onto a high-temperature equilibrium state, but rather induces a non-equilibrium state in which the time-translation symmetry is broken, known as a Floquet time crystal [ELS16]. First, we will develop a theoretical formalism for this purpose, based on the statistical properties of the Floquet eigenstates. And second, we will test its applicability in disordered spin chains subjected to periodic kicks, where Floquet time crystals consisting in oscillating patterns between positive and negative magnetized states have been found [ELS16,YAO17]. We expect our formalism will help predict from which initial states a Floquet time crystal may emerge.</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b/>
          <w:bCs/>
        </w:rPr>
      </w:pPr>
      <w:r>
        <w:rPr>
          <w:rFonts w:eastAsia="Times New Roman" w:cs="Times New Roman" w:ascii="Times New Roman" w:hAnsi="Times New Roman"/>
          <w:b/>
          <w:bCs/>
        </w:rPr>
        <w:t>WP4. Data management, dissemination, and transfer activities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The activities planned for WP4 are the following:</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Activity 4.1</w:t>
      </w:r>
      <w:r>
        <w:rPr>
          <w:rFonts w:eastAsia="Times New Roman" w:cs="Times New Roman" w:ascii="Times New Roman" w:hAnsi="Times New Roman"/>
        </w:rPr>
        <w:t xml:space="preserve">. Coordination of the subprojects. Led by PI1 of SP1 (F. Domínguez-Adame) and PI1 of SP2 (E. Diez).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Considering the experience we have gained over the years through various coordinated projects, we believe that no adjustments are necessary and that coordination can continue to be carried out in the same manner. Therefore, a monthly online meeting is planned, involving all participating researchers. Additionally, a one-day workshop will be held every year, either in Salamanca or Madrid, to present the main results of each activity through 30-minute talks. This will also contribute to the training of early-career researchers, particularly in developing their skills in delivering scientific presentations.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Activity 4.2</w:t>
      </w:r>
      <w:r>
        <w:rPr>
          <w:rFonts w:eastAsia="Times New Roman" w:cs="Times New Roman" w:ascii="Times New Roman" w:hAnsi="Times New Roman"/>
        </w:rPr>
        <w:t>. Data Management Plan. Led by A. Relaño (SP1) and V. Clericó (SP2).</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A Data Management Plan will be created in the first two months and updated throughout the project. It will describe the data types to be collected, the methods and standards used, what will be shared openly, and how data will be curated and preserved long-term. We will follow FAIR principles to ensure data is Findable, Accessible, Interoperable, and Reusable. All research data will be preserved for at least two years after the project ends. Outputs will include reports, hardware development data, sensor measurements, microscopy images, and simulation results.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Data not subject to intellectual property restrictions will be stored in certified institutional or international repositories such as 4TU.ResearchData. Each dataset will receive a DOI to improve accessibility and citation. Personal data linked to activities like workshops or the project website will be handled in accordance with the Data Management Plan and fully comply with General Data Protection Regulation.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Activity 4.3</w:t>
      </w:r>
      <w:r>
        <w:rPr>
          <w:rFonts w:eastAsia="Times New Roman" w:cs="Times New Roman" w:ascii="Times New Roman" w:hAnsi="Times New Roman"/>
        </w:rPr>
        <w:t xml:space="preserve">. Identification of results for intellectual property rights. Led by PI1 of SP1 (F. Domínguez-Adame) and PI1 of SP2 (E. Diez).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Identification of results for intellectual property rights and their protection and transfer of technology. Data protection of the know-how and procedures acquired in the design of the targeted devices is also foreseen through at least one patent intended to be filed during the project. A portfolio of potential technological transfer centers will be generated through a search for potential end-users. Here we will work hand-to-hand with the </w:t>
      </w:r>
      <w:r>
        <w:rPr>
          <w:rFonts w:eastAsia="Times New Roman" w:cs="Times New Roman" w:ascii="Times New Roman" w:hAnsi="Times New Roman"/>
          <w:i/>
          <w:iCs/>
        </w:rPr>
        <w:t>Unidad de Proteccion Intelectual de la USAL</w:t>
      </w:r>
      <w:r>
        <w:rPr>
          <w:rFonts w:eastAsia="Times New Roman" w:cs="Times New Roman" w:ascii="Times New Roman" w:hAnsi="Times New Roman"/>
        </w:rPr>
        <w:t xml:space="preserve"> to study the potential technological transfer and reach of the findings in this proposal. We have a long-term collaboration with the Spanish Centre of Metrology (CEM), particularly in quantum metrology and quantum technologies, where the CEM could be a fundamental partner to connect with the industry and to develop patents with chances to be exploited. Also, we participate in conferences like Quantum Matter that host the various communities engaged in the science and technologies of quantum information and quantum matter, thus providing opportunities for technological transfer.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Activity 4.4</w:t>
      </w:r>
      <w:r>
        <w:rPr>
          <w:rFonts w:eastAsia="Times New Roman" w:cs="Times New Roman" w:ascii="Times New Roman" w:hAnsi="Times New Roman"/>
        </w:rPr>
        <w:t xml:space="preserve">. Dissemination of results and internationalization.  Led by PI2 of SP1 (L. Chico) and PI2 of SP2 (M. Amado).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The results will be disseminated both to the scientific community and the public. We will publish in high-impact peer-reviewed journals in condensed matter and materials physics, as well as broader platforms such as Nature, Science, and Physical Review. Open Access will be prioritized, using Green Access when possible and Gold Access funds when needed as well as available institutional APCs. We will also emphasize visibility beyond academia, targeting journals and formats attractive to industry and general audiences. We will maintain publication output while increasing impact and outreach. We will also present results at major international conferences such as the APS March Meeting, CMD, ICPS, SPIE Microtech- nologies, and MRS, along with specialized workshops. These events support interaction with both researchers and industry. International collaboration and research exchanges will remain central to our work, with all team members actively involved.</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Activity 4.5</w:t>
      </w:r>
      <w:r>
        <w:rPr>
          <w:rFonts w:eastAsia="Times New Roman" w:cs="Times New Roman" w:ascii="Times New Roman" w:hAnsi="Times New Roman"/>
        </w:rPr>
        <w:t xml:space="preserve">. Dissemination to society. Led by PI2 of SP1 (L. Chico) and PI2 of SP2 (M. Amado).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Our proposal aligns with the Spanish Strategy of Science, Technology, and Innovation 2021–2027, particularly Line 4 on the Digital World, Industry, Space, and Defense, which highlights photonics, electronics, and new materials. The project contributes to UN Agenda 2030 Objective 9 on Industry, Innovation, and Infrastructure. Collaboration with leading 2D materials companies, such as Graphenea, and European standardization consortia supports the transfer of our research results to society. We also have experience in technology transfer contracts, allowing us to contribute both to fundamental knowledge in quantum materials and its industrial application.</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We will engage the general public through dissemination in media, popular science platforms, social networks, and websites. Outreach events will be held in schools, universities, and technology parks, including </w:t>
      </w:r>
      <w:r>
        <w:rPr>
          <w:rFonts w:eastAsia="Times New Roman" w:cs="Times New Roman" w:ascii="Times New Roman" w:hAnsi="Times New Roman"/>
          <w:i/>
          <w:iCs/>
        </w:rPr>
        <w:t>Semana de la Ciencia</w:t>
      </w:r>
      <w:r>
        <w:rPr>
          <w:rFonts w:eastAsia="Times New Roman" w:cs="Times New Roman" w:ascii="Times New Roman" w:hAnsi="Times New Roman"/>
        </w:rPr>
        <w:t xml:space="preserve"> activities, targeting young researchers and high-tech SMEs (Small and Medium-sized Enterprises). We work with Ciencia a la Carta to promote science among rural and special-needs audiences and participate in initiatives such as the International Day of Women and Girls in Science.</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We have also published articles in outreach magazines aimed at non-specialized readers, such as the Revista Española de Física [EST24c] and the American Journal of Physics [MAR23]. Our research on antidot superlattices has garnered significant visibility through a Focus in Physics article by the American Physical Society [BUC25]. This platform highlights the most impactful and broadly relevant advances in physics for a broad scientific audience, underscoring the importance and outreach potential of our work beyond specialized communities.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Activity 4.6</w:t>
      </w:r>
      <w:r>
        <w:rPr>
          <w:rFonts w:eastAsia="Times New Roman" w:cs="Times New Roman" w:ascii="Times New Roman" w:hAnsi="Times New Roman"/>
        </w:rPr>
        <w:t>. Training young researchers. Led by PI1 of SP1 (F. Domínguez-Adame) and PI1 of SP2 (E. Diez). Research Team: PI2 of SP1 (L. Chico), PI2 of SP2 (M. Amado), E. Díaz (SP1), R. Molina (SP1), A. Malyshev (SP1), A. Relaño (SP1), H. Santos (SP1) and R. Lima SP1). Work team: A. López (SP1), A. Latgé (SP1), M. Pacheco (SP1), V. Bellani (SP2), M. Hilke (SP2) and S. Huberman (SP2).</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PhD students involved in this proposal have already started their research activities under the supervision of the senior members. Currently they are enrolled in the Doctorate Programs in Physics at USAL, UCM, and UFF in Brazil. Therefore, from the outset, they are seamlessly integrated within the group. They conduct their studies and research projects under the supervision of the senior members. The researchers of both subprojects are engaged in competitive international science, with an outstanding collective and individual record of research achievements and publications in top-quality journals, collaborate within an extensive network of renowned researchers worldwide, and possess vast experience in the supervision of PhD Fellows. Furthermore, we will also train undergraduate and master's students in science and technology related to 2D materials for electronic devices in the Máster en Física y Matemáticas at USAL, Máster en Nanofísica y Materiales Avanzados at UCM, and reach undergraduate students through the seminars +Física. Senior team members usually supervise on average a couple of Bachelor's theses and a Master's thesis each year.</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numPr>
          <w:ilvl w:val="1"/>
          <w:numId w:val="1"/>
        </w:numPr>
        <w:pBdr/>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rPr>
        <w:t xml:space="preserve">Description of the methodology.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Part of the methodology we will use has already been introduced when discussing the various activities of this project, as this approach improves the clarity of the presentation. Therefore, we will now restrict ourselves to briefly highlighting those aspects that were not covered in previous sections.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WP1.</w:t>
      </w:r>
      <w:r>
        <w:rPr>
          <w:rFonts w:eastAsia="Times New Roman" w:cs="Times New Roman" w:ascii="Times New Roman" w:hAnsi="Times New Roman"/>
        </w:rPr>
        <w:t xml:space="preserve"> </w:t>
      </w:r>
      <w:r>
        <w:rPr>
          <w:rFonts w:eastAsia="Times New Roman" w:cs="Times New Roman" w:ascii="Times New Roman" w:hAnsi="Times New Roman"/>
          <w:b/>
          <w:bCs/>
        </w:rPr>
        <w:t>Electron and phonon hydrodynamics in 2D materials</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Heterostructures for both electron and phonon hydrodynamics will be fabricated via a dry transfer technique. They will primarily consist of monolayer graphene and thin hBN (few layers thick) will be exfoliated on SiO₂/Si substrates. When possible, thin graphite flakes will serve as back gates to reduce charge impurity effects and enhance mobility. Stacking will be performed under an optical microscope using a PC/PDMS stamp on a heated glass slide. The 2D layers will be sequentially picked up via van der Waals forces, aligned, encapsulated between hBN layers, and transferred onto the final substrate (graphite or SiO₂/Si) without additional heating to prevent layer relaxation, crucial in our studies.</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 xml:space="preserve">Device geometry will be defined by electron beam lithography, reactive ion etching, and metal (Cr/Au or Ti/Au) deposition when required. Mesoscopic Hall-bar devices will be primarily fabricated for pre-characterization of symmetry-engineered and twisted systems. Device definition will employ Ar⁺ milling (cryo) reactive ion etching. Electrical testing will begin in a cryofree probe station (Lakeshore) before mounting in LCC20 holders. Measurements will be conducted in a Cryofree Teslatron (12 T) equipped with Variable Temperature and He³ inserts (down to 300 mK), and in a Triton dilution fridge (&lt; 10 mK). All setups include filtering and electrostatic discharge protection. Standard low-frequency AC transport measurements will be carried out using lock-in techniques with room-temperature preamplifiers. </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SuperRRaman measurements will be carried out at McGill University, where the samples will be mounted on a vibration-isolated optical table, providing excellent mechanical and thermal stability. Samples are placed in a variable-temperature sample cage, capable of operating from liquid-nitrogen temperature up to 800 K, and isolated from the environment by radiation shields. The system is power- and temperature- dependent, allowing fine control of excitation and measurement conditions. Optical polarizers can be inserted along the optical path, enabling polarization-resolved Raman studies without the use of optical fibers</w:t>
      </w:r>
    </w:p>
    <w:p>
      <w:pPr>
        <w:pStyle w:val="Normal"/>
        <w:spacing w:lineRule="auto" w:line="240" w:before="0" w:after="100"/>
        <w:jc w:val="both"/>
        <w:rPr>
          <w:rFonts w:ascii="Times New Roman" w:hAnsi="Times New Roman" w:eastAsia="Times New Roman" w:cs="Times New Roman"/>
        </w:rPr>
      </w:pPr>
      <w:r>
        <w:rPr>
          <w:rFonts w:eastAsia="Times New Roman" w:cs="Times New Roman" w:ascii="Times New Roman" w:hAnsi="Times New Roman"/>
        </w:rPr>
        <w:t>On a theoretical level, finite element-based codes have already been developed by SP1, using MATLAB as the computational platform. We have implemented a conforming Galerkin method, where the solution for the electronic distribution function is written in terms of a basis of Taylor-Hood elements. We start from the weak formulation of the Boltzmann equation and transform it into a linear system of equations. It is important to stress that convergence is slower for the smallest devices, deeper into the ballistic regime, which demand longer computational times. The formalism also includes the proper boundary conditions, for which we anticipate that some further finer adjustments will be required, given the crucial role played by the geometry of the system.</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WP2.</w:t>
      </w:r>
      <w:r>
        <w:rPr>
          <w:rFonts w:eastAsia="Times New Roman" w:cs="Times New Roman" w:ascii="Times New Roman" w:hAnsi="Times New Roman"/>
        </w:rPr>
        <w:t xml:space="preserve"> </w:t>
      </w:r>
      <w:r>
        <w:rPr>
          <w:rFonts w:eastAsia="Times New Roman" w:cs="Times New Roman" w:ascii="Times New Roman" w:hAnsi="Times New Roman"/>
          <w:b/>
          <w:bCs/>
        </w:rPr>
        <w:t>Engineered moiré and superconductivity in low-dimensional materials.</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Heterostructures will be fabricated using our dry-transfer procedures, incorporating bilayer graphene, twisted bilayer graphene prepared via tear-and-stack, and encapsulated Hall-bar geometries. Standard Si or graphite back gates will be used for electrostatic control, and low-temperature measurements will follow the same techniques used in WP1. To ensure ultraclean, high-mobility channels for both hydrodynamic-transport and moiré-graphene devices, we will apply AFM contact-mode “ironing” to exfoliated flakes and to completed heterostructures. This procedure, implemented with calibrated forces and optimized scan spacing, removes polymer residues and nanoscale corrugations. Device quality will be verified using EFM/KPFM, where reduced potential fluctuations and smoother surface- potential maps will confirm improved cleanliness, and bias-dependent scans will track the current flow through Hall-bar and moiré regions.</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In parallel, we will introduce a modified fabrication route to allow the use of polymer substrates for strain-tunable devices in PC and TOPAS being the latter fully compatible with conventional lithographic processing and stable up to 170 °C. These devices will be cooled and measured using the same protocols as the rest of WP2, enabling a direct procedural comparison between TOPAS-, PC-, and SiO₂-supported samples.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The theoretical modelling of the miniband formation in the 2D heterostructures with antidots will be based on continuum models and tight binding descriptions of TBG [KOS18]. The vortex formation and the spatial dependence of the order parameter due to the holes will be simulated employing Ginzburg-Landau theory. Transport simulation within the Landauer-Büttiker formalism [GRO14] will be performed in scaled devices, which preserve the main geometrical properties of the antidot superlattice, to compare them with the experimental Hall measurements.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b/>
          <w:bCs/>
        </w:rPr>
      </w:pPr>
      <w:r>
        <w:rPr>
          <w:rFonts w:eastAsia="Times New Roman" w:cs="Times New Roman" w:ascii="Times New Roman" w:hAnsi="Times New Roman"/>
          <w:b/>
          <w:bCs/>
        </w:rPr>
        <w:t>WP3. Time-driven and symmetry engineering of low-dimensional systems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To study the emergence of ferromagnetic states in long-range interacting 1D systems, we will adapt our numerical codes in Matlab and Fortran to work with translation- and reflection- invariant basis. In this way, we will be able to diagonalize systems up to 22-24 particles, which is enough to reproduce the conditions of recent experiments [TAN21]. To extend </w:t>
      </w:r>
      <w:r>
        <w:rPr>
          <w:rFonts w:eastAsia="Times New Roman" w:cs="Times New Roman" w:ascii="Times New Roman" w:hAnsi="Times New Roman"/>
        </w:rPr>
        <w:t>the</w:t>
      </w:r>
      <w:r>
        <w:rPr>
          <w:rFonts w:eastAsia="Times New Roman" w:cs="Times New Roman" w:ascii="Times New Roman" w:hAnsi="Times New Roman"/>
        </w:rPr>
        <w:t xml:space="preserve"> formalism to 2D systems, we will need to refine the numerical codes in order to work with a single sector with well-defined values for all the symmetries.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The modelling of transport properties of moiré nanosystems will be based in the Landauer-Büttiker formalism, employing a tight-binding model with one electron per atom with an interlayer hopping tuned to describe the behavior near the Fermi energy, where band flattening occurs. This  approach has been proved to successfully describe the electronic properties of different moiré materials, such as multilayers and collapsed carbon nanotubes [ARR20,ARR23,PER24]. Our team has an ample expertise in the computation of quantum transport properties in nanosystems within the Landauer-Büttiker approach, ranging from our own codes including spin polarization [CHI17,SAN20] to calculations employing the Kwant package [MOL24]. Due to the large size of the systems that we will address, we propose to modify our Green’s function-based codes in order to deal with the cases closer to the magic angle. In such a case, we plan to implement the Double Sweep Method, which allows for the efficient calculation of the complete Green function without performing a direct matrix inversion [SET15].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The study of the electronic and magnetic properties of low-symmetry 2D materials will be tackled by </w:t>
      </w:r>
      <w:r>
        <w:rPr>
          <w:rFonts w:eastAsia="Times New Roman" w:cs="Times New Roman" w:ascii="Times New Roman" w:hAnsi="Times New Roman"/>
          <w:i/>
          <w:iCs/>
        </w:rPr>
        <w:t>ab-initio</w:t>
      </w:r>
      <w:r>
        <w:rPr>
          <w:rFonts w:eastAsia="Times New Roman" w:cs="Times New Roman" w:ascii="Times New Roman" w:hAnsi="Times New Roman"/>
        </w:rPr>
        <w:t xml:space="preserve"> methods such as SIESTA [SOL02] or Quantum ESPRESSO [GIA09], from which tight-binding-like models will be derived by employing standard Wannierization tools (e.g. Wannier90 [MOS14]), that also allow for the characterization of their topological properties.  For quasi-1D systems, magnetic properties can b</w:t>
      </w:r>
      <w:sdt>
        <w:sdtPr>
          <w:tag w:val="goog_rdk_2"/>
          <w:id w:val="1052038046"/>
        </w:sdtPr>
        <w:sdtContent>
          <w:r>
            <w:rPr>
              <w:rFonts w:eastAsia="Times New Roman" w:cs="Times New Roman" w:ascii="Times New Roman" w:hAnsi="Times New Roman"/>
            </w:rPr>
          </w:r>
          <w:r>
            <w:rPr>
              <w:rFonts w:eastAsia="Times New Roman" w:cs="Times New Roman" w:ascii="Times New Roman" w:hAnsi="Times New Roman"/>
            </w:rPr>
          </w:r>
        </w:sdtContent>
      </w:sdt>
      <w:r>
        <w:rPr>
          <w:rFonts w:eastAsia="Times New Roman" w:cs="Times New Roman" w:ascii="Times New Roman" w:hAnsi="Times New Roman"/>
        </w:rPr>
        <w:t xml:space="preserve">e </w:t>
      </w:r>
      <w:sdt>
        <w:sdtPr>
          <w:tag w:val="goog_rdk_3"/>
          <w:id w:val="-1188358880"/>
        </w:sdtPr>
        <w:sdtContent>
          <w:r>
            <w:rPr>
              <w:rFonts w:eastAsia="Times New Roman" w:cs="Times New Roman" w:ascii="Times New Roman" w:hAnsi="Times New Roman"/>
            </w:rPr>
          </w:r>
          <w:r>
            <w:rPr>
              <w:rFonts w:eastAsia="Times New Roman" w:cs="Times New Roman" w:ascii="Times New Roman" w:hAnsi="Times New Roman"/>
            </w:rPr>
          </w:r>
        </w:sdtContent>
      </w:sdt>
      <w:r>
        <w:rPr>
          <w:rFonts w:eastAsia="Times New Roman" w:cs="Times New Roman" w:ascii="Times New Roman" w:hAnsi="Times New Roman"/>
        </w:rPr>
        <w:t xml:space="preserve">further explored by combining </w:t>
      </w:r>
      <w:r>
        <w:rPr>
          <w:rFonts w:eastAsia="Times New Roman" w:cs="Times New Roman" w:ascii="Times New Roman" w:hAnsi="Times New Roman"/>
          <w:i/>
          <w:iCs/>
        </w:rPr>
        <w:t>ab-initio</w:t>
      </w:r>
      <w:r>
        <w:rPr>
          <w:rFonts w:eastAsia="Times New Roman" w:cs="Times New Roman" w:ascii="Times New Roman" w:hAnsi="Times New Roman"/>
        </w:rPr>
        <w:t xml:space="preserve"> calculations for smaller systems with semiempirical tight-binding models with a Hubbard term, a successful approach we recently employed to elucidate the interplay of edges and defects in graphene nanoribbons [MOL25].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The methodology for studying time-driven engineering of low-dimensional topological systems relies on the </w:t>
      </w:r>
      <w:r>
        <w:rPr>
          <w:rFonts w:eastAsia="Times New Roman" w:cs="Times New Roman" w:ascii="Times New Roman" w:hAnsi="Times New Roman"/>
          <w:i/>
          <w:iCs/>
        </w:rPr>
        <w:t>t–t′ Floquet formalism</w:t>
      </w:r>
      <w:r>
        <w:rPr>
          <w:rFonts w:eastAsia="Times New Roman" w:cs="Times New Roman" w:ascii="Times New Roman" w:hAnsi="Times New Roman"/>
        </w:rPr>
        <w:t xml:space="preserve">, which generalizes the standard Floquet approach to systems driven by </w:t>
      </w:r>
      <w:r>
        <w:rPr>
          <w:rFonts w:eastAsia="Times New Roman" w:cs="Times New Roman" w:ascii="Times New Roman" w:hAnsi="Times New Roman"/>
          <w:i/>
          <w:iCs/>
        </w:rPr>
        <w:t>non-periodic pulses</w:t>
      </w:r>
      <w:r>
        <w:rPr>
          <w:rFonts w:eastAsia="Times New Roman" w:cs="Times New Roman" w:ascii="Times New Roman" w:hAnsi="Times New Roman"/>
        </w:rPr>
        <w:t xml:space="preserve"> by explicitly separating the oscillatory component of the driving field from its varying amplitude envelope. The formalism requires the construction of an </w:t>
      </w:r>
      <w:r>
        <w:rPr>
          <w:rFonts w:eastAsia="Times New Roman" w:cs="Times New Roman" w:ascii="Times New Roman" w:hAnsi="Times New Roman"/>
          <w:i/>
          <w:iCs/>
        </w:rPr>
        <w:t>instantaneous Floquet basis</w:t>
      </w:r>
      <w:r>
        <w:rPr>
          <w:rFonts w:eastAsia="Times New Roman" w:cs="Times New Roman" w:ascii="Times New Roman" w:hAnsi="Times New Roman"/>
        </w:rPr>
        <w:t xml:space="preserve"> parametrized by the time-dependent amplitude. The corresponding evolution equations for the expansion coefficients contain both adiabatic phase accumulation and nonadiabatic coupling terms between Floquet replicas. This framework captures the interplay between the envelope dynamics and the formation of Floquet–Bloch sidebands, revealing transient hybridization gaps and time-dependent redistribution of spectral weight between conduction and valence replicas [BAB25a]. The objective is to understand how these dynamical processes, driven by finite-duration pulses, control the </w:t>
      </w:r>
      <w:r>
        <w:rPr>
          <w:rFonts w:eastAsia="Times New Roman" w:cs="Times New Roman" w:ascii="Times New Roman" w:hAnsi="Times New Roman"/>
          <w:i/>
          <w:iCs/>
        </w:rPr>
        <w:t>emergence of light-induced edge states</w:t>
      </w:r>
      <w:r>
        <w:rPr>
          <w:rFonts w:eastAsia="Times New Roman" w:cs="Times New Roman" w:ascii="Times New Roman" w:hAnsi="Times New Roman"/>
        </w:rPr>
        <w:t xml:space="preserve"> and the transient modification of topological properties characteristic of Floquet-engineered phases, thereby connecting ultrafast pulse shaping with the real-time formation of topological band structures. The code for previous developments of our group have been made publicly available by Y. Baba [BAB25b] but now it will require extensions for real space applications with a dramatic increase in computational requirements. </w:t>
      </w:r>
    </w:p>
    <w:p>
      <w:pPr>
        <w:pStyle w:val="Normal"/>
        <w:pBdr/>
        <w:spacing w:lineRule="auto" w:line="240" w:before="0" w:after="0"/>
        <w:ind w:left="1080"/>
        <w:jc w:val="both"/>
        <w:rPr>
          <w:rFonts w:ascii="Times New Roman" w:hAnsi="Times New Roman" w:eastAsia="Times New Roman" w:cs="Times New Roman"/>
          <w:b/>
          <w:bCs/>
        </w:rPr>
      </w:pPr>
      <w:r>
        <w:rPr>
          <w:rFonts w:eastAsia="Times New Roman" w:cs="Times New Roman" w:ascii="Times New Roman" w:hAnsi="Times New Roman"/>
          <w:b/>
          <w:bCs/>
        </w:rPr>
      </w:r>
    </w:p>
    <w:p>
      <w:pPr>
        <w:pStyle w:val="Normal"/>
        <w:numPr>
          <w:ilvl w:val="1"/>
          <w:numId w:val="1"/>
        </w:numPr>
        <w:pBdr/>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rPr>
        <w:t>Work plan and schedule.</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100"/>
        <w:jc w:val="both"/>
        <w:rPr>
          <w:rFonts w:ascii="Times New Roman" w:hAnsi="Times New Roman" w:eastAsia="Times New Roman" w:cs="Times New Roman"/>
        </w:rPr>
      </w:pPr>
      <w:r>
        <w:rPr>
          <w:rFonts w:eastAsia="Times New Roman" w:cs="Times New Roman" w:ascii="Times New Roman" w:hAnsi="Times New Roman"/>
        </w:rPr>
        <w:t>The activities of the four WPs will span the three-year duration of the project. The following table presents the intermediate targets and deliverables within each WP.</w:t>
      </w:r>
    </w:p>
    <w:tbl>
      <w:tblPr>
        <w:tblStyle w:val="a7"/>
        <w:tblW w:w="9421" w:type="dxa"/>
        <w:jc w:val="left"/>
        <w:tblInd w:w="-218" w:type="dxa"/>
        <w:tblLayout w:type="fixed"/>
        <w:tblCellMar>
          <w:top w:w="0" w:type="dxa"/>
          <w:left w:w="108" w:type="dxa"/>
          <w:bottom w:w="0" w:type="dxa"/>
          <w:right w:w="108" w:type="dxa"/>
        </w:tblCellMar>
        <w:tblLook w:val="0600" w:noHBand="1" w:noVBand="1" w:firstColumn="0" w:lastRow="0" w:lastColumn="0" w:firstRow="0"/>
      </w:tblPr>
      <w:tblGrid>
        <w:gridCol w:w="910"/>
        <w:gridCol w:w="4260"/>
        <w:gridCol w:w="4251"/>
      </w:tblGrid>
      <w:tr>
        <w:trPr/>
        <w:tc>
          <w:tcPr>
            <w:tcW w:w="910" w:type="dxa"/>
            <w:tcBorders>
              <w:top w:val="single" w:sz="8" w:space="0" w:color="000000"/>
              <w:left w:val="single" w:sz="8" w:space="0" w:color="000000"/>
              <w:bottom w:val="single" w:sz="8" w:space="0" w:color="000000"/>
              <w:right w:val="single" w:sz="8" w:space="0" w:color="000000"/>
            </w:tcBorders>
            <w:shd w:color="auto" w:fill="FFD966" w:val="clear"/>
          </w:tcPr>
          <w:p>
            <w:pPr>
              <w:pStyle w:val="Normal"/>
              <w:widowControl w:val="false"/>
              <w:spacing w:lineRule="auto" w:line="240" w:before="0" w:after="0"/>
              <w:jc w:val="center"/>
              <w:rPr>
                <w:rFonts w:ascii="Times New Roman" w:hAnsi="Times New Roman" w:eastAsia="Times New Roman" w:cs="Times New Roman"/>
                <w:b/>
                <w:bCs/>
              </w:rPr>
            </w:pPr>
            <w:r>
              <w:rPr>
                <w:rFonts w:eastAsia="Times New Roman" w:cs="Times New Roman" w:ascii="Times New Roman" w:hAnsi="Times New Roman"/>
                <w:b/>
                <w:bCs/>
              </w:rPr>
              <w:t>WP</w:t>
            </w:r>
          </w:p>
        </w:tc>
        <w:tc>
          <w:tcPr>
            <w:tcW w:w="4260" w:type="dxa"/>
            <w:tcBorders>
              <w:top w:val="single" w:sz="8" w:space="0" w:color="000000"/>
              <w:left w:val="single" w:sz="8" w:space="0" w:color="000000"/>
              <w:bottom w:val="single" w:sz="8" w:space="0" w:color="000000"/>
              <w:right w:val="single" w:sz="8" w:space="0" w:color="000000"/>
            </w:tcBorders>
            <w:shd w:color="auto" w:fill="FFD966" w:val="clear"/>
          </w:tcPr>
          <w:p>
            <w:pPr>
              <w:pStyle w:val="Normal"/>
              <w:widowControl w:val="false"/>
              <w:spacing w:lineRule="auto" w:line="240" w:before="0" w:after="0"/>
              <w:jc w:val="center"/>
              <w:rPr>
                <w:rFonts w:ascii="Times New Roman" w:hAnsi="Times New Roman" w:eastAsia="Times New Roman" w:cs="Times New Roman"/>
                <w:b/>
                <w:bCs/>
              </w:rPr>
            </w:pPr>
            <w:r>
              <w:rPr>
                <w:rFonts w:eastAsia="Times New Roman" w:cs="Times New Roman" w:ascii="Times New Roman" w:hAnsi="Times New Roman"/>
                <w:b/>
                <w:bCs/>
              </w:rPr>
              <w:t>Intermediate target (Month)</w:t>
            </w:r>
          </w:p>
        </w:tc>
        <w:tc>
          <w:tcPr>
            <w:tcW w:w="4251" w:type="dxa"/>
            <w:tcBorders>
              <w:top w:val="single" w:sz="8" w:space="0" w:color="000000"/>
              <w:left w:val="single" w:sz="8" w:space="0" w:color="000000"/>
              <w:bottom w:val="single" w:sz="8" w:space="0" w:color="000000"/>
              <w:right w:val="single" w:sz="8" w:space="0" w:color="000000"/>
            </w:tcBorders>
            <w:shd w:color="auto" w:fill="FFD966" w:val="clear"/>
          </w:tcPr>
          <w:p>
            <w:pPr>
              <w:pStyle w:val="Normal"/>
              <w:widowControl w:val="false"/>
              <w:spacing w:lineRule="auto" w:line="240" w:before="0" w:after="0"/>
              <w:jc w:val="center"/>
              <w:rPr>
                <w:rFonts w:ascii="Times New Roman" w:hAnsi="Times New Roman" w:eastAsia="Times New Roman" w:cs="Times New Roman"/>
                <w:b/>
                <w:bCs/>
              </w:rPr>
            </w:pPr>
            <w:r>
              <w:rPr>
                <w:rFonts w:eastAsia="Times New Roman" w:cs="Times New Roman" w:ascii="Times New Roman" w:hAnsi="Times New Roman"/>
                <w:b/>
                <w:bCs/>
              </w:rPr>
              <w:t>Deliverable (Month)</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WP1</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IT1.1</w:t>
            </w:r>
            <w:r>
              <w:rPr>
                <w:rFonts w:eastAsia="Times New Roman" w:cs="Times New Roman" w:ascii="Times New Roman" w:hAnsi="Times New Roman"/>
              </w:rPr>
              <w:t xml:space="preserve"> Fabrication of the ASL-GTeraFET (6)</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D1.1</w:t>
            </w:r>
            <w:r>
              <w:rPr>
                <w:rFonts w:eastAsia="Times New Roman" w:cs="Times New Roman" w:ascii="Times New Roman" w:hAnsi="Times New Roman"/>
              </w:rPr>
              <w:t xml:space="preserve"> Report on the protocols to fabricate the ASL-GTeraFET (6)</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WP1</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 xml:space="preserve">IT1.2 </w:t>
            </w:r>
            <w:r>
              <w:rPr>
                <w:rFonts w:eastAsia="Times New Roman" w:cs="Times New Roman" w:ascii="Times New Roman" w:hAnsi="Times New Roman"/>
              </w:rPr>
              <w:t>Modeling of the ASL-GTeraFET (6)</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b/>
                <w:bCs/>
              </w:rPr>
            </w:pPr>
            <w:r>
              <w:rPr>
                <w:rFonts w:eastAsia="Times New Roman" w:cs="Times New Roman" w:ascii="Times New Roman" w:hAnsi="Times New Roman"/>
                <w:b/>
                <w:bCs/>
              </w:rPr>
              <w:t>D1.2</w:t>
            </w:r>
            <w:r>
              <w:rPr>
                <w:rFonts w:eastAsia="Times New Roman" w:cs="Times New Roman" w:ascii="Times New Roman" w:hAnsi="Times New Roman"/>
              </w:rPr>
              <w:t xml:space="preserve"> Report on the numerically simulated performance of the ASL-GTeraFET (12)</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WP1</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IT1.3</w:t>
            </w:r>
            <w:r>
              <w:rPr>
                <w:rFonts w:eastAsia="Times New Roman" w:cs="Times New Roman" w:ascii="Times New Roman" w:hAnsi="Times New Roman"/>
              </w:rPr>
              <w:t xml:space="preserve"> Detection of THz radiation from ASL-GTeraFET (12)</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D1.3</w:t>
            </w:r>
            <w:r>
              <w:rPr>
                <w:rFonts w:eastAsia="Times New Roman" w:cs="Times New Roman" w:ascii="Times New Roman" w:hAnsi="Times New Roman"/>
              </w:rPr>
              <w:t xml:space="preserve"> Report on the ASL-GTeraFET response at various temperatures (16)</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WP1</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rPr>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D1.4</w:t>
            </w:r>
            <w:r>
              <w:rPr>
                <w:rFonts w:eastAsia="Times New Roman" w:cs="Times New Roman" w:ascii="Times New Roman" w:hAnsi="Times New Roman"/>
              </w:rPr>
              <w:t xml:space="preserve"> Scientific paper after reports D1.1, D1.2 and D1.3 (18)</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WP1</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IT1.4</w:t>
            </w:r>
            <w:r>
              <w:rPr>
                <w:rFonts w:eastAsia="Times New Roman" w:cs="Times New Roman" w:ascii="Times New Roman" w:hAnsi="Times New Roman"/>
              </w:rPr>
              <w:t xml:space="preserve"> Optimization and comparison of the different designs of ASL-GTeraFET (26)</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b/>
                <w:bCs/>
              </w:rPr>
            </w:pPr>
            <w:r>
              <w:rPr>
                <w:rFonts w:eastAsia="Times New Roman" w:cs="Times New Roman" w:ascii="Times New Roman" w:hAnsi="Times New Roman"/>
                <w:b/>
                <w:bCs/>
              </w:rPr>
              <w:t>D1.5</w:t>
            </w:r>
            <w:r>
              <w:rPr>
                <w:rFonts w:eastAsia="Times New Roman" w:cs="Times New Roman" w:ascii="Times New Roman" w:hAnsi="Times New Roman"/>
              </w:rPr>
              <w:t xml:space="preserve"> Report on the figures of merit and performance of the different ASL-GTeraFET devices (26)</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WP1</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rPr>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D1.6</w:t>
            </w:r>
            <w:r>
              <w:rPr>
                <w:rFonts w:eastAsia="Times New Roman" w:cs="Times New Roman" w:ascii="Times New Roman" w:hAnsi="Times New Roman"/>
              </w:rPr>
              <w:t xml:space="preserve"> Review paper on electron hydrodynamics for graphene-</w:t>
            </w:r>
          </w:p>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rPr>
              <w:t>based electronics (32)</w:t>
            </w:r>
          </w:p>
        </w:tc>
      </w:tr>
      <w:tr>
        <w:trPr>
          <w:trHeight w:val="283" w:hRule="atLeast"/>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WP1</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IT1.5</w:t>
            </w:r>
            <w:r>
              <w:rPr>
                <w:rFonts w:eastAsia="Times New Roman" w:cs="Times New Roman" w:ascii="Times New Roman" w:hAnsi="Times New Roman"/>
              </w:rPr>
              <w:t xml:space="preserve"> Modeling of nonlinear hydro- dynamic electron transport regime (6)</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D1.7</w:t>
            </w:r>
            <w:r>
              <w:rPr>
                <w:rFonts w:eastAsia="Times New Roman" w:cs="Times New Roman" w:ascii="Times New Roman" w:hAnsi="Times New Roman"/>
              </w:rPr>
              <w:t xml:space="preserve"> Report on the numerically simulated performance of graphene constrictions at high current subject to magnetic field (6)</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WP1</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IT1.6</w:t>
            </w:r>
            <w:r>
              <w:rPr>
                <w:rFonts w:eastAsia="Times New Roman" w:cs="Times New Roman" w:ascii="Times New Roman" w:hAnsi="Times New Roman"/>
              </w:rPr>
              <w:t xml:space="preserve"> Current rectification in graphene heterostructures (12)</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D1.8</w:t>
            </w:r>
            <w:r>
              <w:rPr>
                <w:rFonts w:eastAsia="Times New Roman" w:cs="Times New Roman" w:ascii="Times New Roman" w:hAnsi="Times New Roman"/>
              </w:rPr>
              <w:t xml:space="preserve"> Report on the current rectification at various temperatures and magnetic fields (12)</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WP1</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rPr>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D1.9</w:t>
            </w:r>
            <w:r>
              <w:rPr>
                <w:rFonts w:eastAsia="Times New Roman" w:cs="Times New Roman" w:ascii="Times New Roman" w:hAnsi="Times New Roman"/>
              </w:rPr>
              <w:t xml:space="preserve"> Scientific paper after reports D1.7 and D1.8 (18)</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WP1</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IT1.7</w:t>
            </w:r>
            <w:r>
              <w:rPr>
                <w:rFonts w:eastAsia="Times New Roman" w:cs="Times New Roman" w:ascii="Times New Roman" w:hAnsi="Times New Roman"/>
              </w:rPr>
              <w:t xml:space="preserve"> Characterization report on the geometry and uniformity of triangular antidot lattices. (6)</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D1.10</w:t>
            </w:r>
            <w:r>
              <w:rPr>
                <w:rFonts w:eastAsia="Times New Roman" w:cs="Times New Roman" w:ascii="Times New Roman" w:hAnsi="Times New Roman"/>
              </w:rPr>
              <w:t xml:space="preserve"> Report on Raman maps showing initial phonon mode modulation induced by the superlattice (6)</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WP1</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b/>
                <w:bCs/>
              </w:rPr>
            </w:pPr>
            <w:r>
              <w:rPr>
                <w:rFonts w:eastAsia="Times New Roman" w:cs="Times New Roman" w:ascii="Times New Roman" w:hAnsi="Times New Roman"/>
                <w:b/>
                <w:bCs/>
              </w:rPr>
              <w:t xml:space="preserve">IT1.8 </w:t>
            </w:r>
            <w:r>
              <w:rPr>
                <w:rFonts w:eastAsia="Times New Roman" w:cs="Times New Roman" w:ascii="Times New Roman" w:hAnsi="Times New Roman"/>
              </w:rPr>
              <w:t>Comparative dataset: contacted vs. non-contacted Raman response (16)</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highlight w:val="yellow"/>
              </w:rPr>
            </w:pPr>
            <w:r>
              <w:rPr>
                <w:rFonts w:eastAsia="Times New Roman" w:cs="Times New Roman" w:ascii="Times New Roman" w:hAnsi="Times New Roman"/>
                <w:b/>
                <w:bCs/>
              </w:rPr>
              <w:t xml:space="preserve">D.11 </w:t>
            </w:r>
            <w:r>
              <w:rPr>
                <w:rFonts w:eastAsia="Times New Roman" w:cs="Times New Roman" w:ascii="Times New Roman" w:hAnsi="Times New Roman"/>
              </w:rPr>
              <w:t>Experimental summary report linking phonon hydrodynamics to geometry (channels vs antidots) (18)</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WP1</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IT1.9</w:t>
            </w:r>
            <w:r>
              <w:rPr>
                <w:rFonts w:eastAsia="Times New Roman" w:cs="Times New Roman" w:ascii="Times New Roman" w:hAnsi="Times New Roman"/>
              </w:rPr>
              <w:t xml:space="preserve"> Theoretical description of hydrodynamic heat transport in graphene ASL (20)</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D1.12</w:t>
            </w:r>
            <w:r>
              <w:rPr>
                <w:rFonts w:eastAsia="Times New Roman" w:cs="Times New Roman" w:ascii="Times New Roman" w:hAnsi="Times New Roman"/>
              </w:rPr>
              <w:t xml:space="preserve"> Report on the micro- and macroscopic equations for hydrodynamic phonon transport (24)</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WP1</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rPr>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D1.13</w:t>
            </w:r>
            <w:r>
              <w:rPr>
                <w:rFonts w:eastAsia="Times New Roman" w:cs="Times New Roman" w:ascii="Times New Roman" w:hAnsi="Times New Roman"/>
              </w:rPr>
              <w:t xml:space="preserve"> Scientific papers after reports D1.10, D.11 and  D1.12 (28)</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WP2</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b/>
                <w:bCs/>
              </w:rPr>
            </w:pPr>
            <w:r>
              <w:rPr>
                <w:rFonts w:eastAsia="Times New Roman" w:cs="Times New Roman" w:ascii="Times New Roman" w:hAnsi="Times New Roman"/>
                <w:b/>
                <w:bCs/>
              </w:rPr>
              <w:t xml:space="preserve">IT2.1 </w:t>
            </w:r>
            <w:r>
              <w:rPr>
                <w:rFonts w:eastAsia="Times New Roman" w:cs="Times New Roman" w:ascii="Times New Roman" w:hAnsi="Times New Roman"/>
              </w:rPr>
              <w:t>Optimize fabrication of antidot-patterned bilayer graphene with clear moiré modulation (6)</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D2.1</w:t>
            </w:r>
            <w:r>
              <w:rPr>
                <w:rFonts w:eastAsia="Times New Roman" w:cs="Times New Roman" w:ascii="Times New Roman" w:hAnsi="Times New Roman"/>
              </w:rPr>
              <w:t xml:space="preserve"> Report on device fabrication, AFM-ironing, and initial miniband observations(12)</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WP2</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b/>
                <w:bCs/>
              </w:rPr>
            </w:pPr>
            <w:r>
              <w:rPr>
                <w:rFonts w:eastAsia="Times New Roman" w:cs="Times New Roman" w:ascii="Times New Roman" w:hAnsi="Times New Roman"/>
                <w:b/>
                <w:bCs/>
              </w:rPr>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D2.2</w:t>
            </w:r>
            <w:r>
              <w:rPr>
                <w:rFonts w:eastAsia="Times New Roman" w:cs="Times New Roman" w:ascii="Times New Roman" w:hAnsi="Times New Roman"/>
              </w:rPr>
              <w:t xml:space="preserve"> Scientific paper after report D2.1, (18)</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WP2</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 xml:space="preserve">IT2.2 </w:t>
            </w:r>
            <w:r>
              <w:rPr>
                <w:rFonts w:eastAsia="Times New Roman" w:cs="Times New Roman" w:ascii="Times New Roman" w:hAnsi="Times New Roman"/>
              </w:rPr>
              <w:t>Fabrication and optimization of moireed MATBG (12)</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D2.3</w:t>
            </w:r>
            <w:r>
              <w:rPr>
                <w:rFonts w:eastAsia="Times New Roman" w:cs="Times New Roman" w:ascii="Times New Roman" w:hAnsi="Times New Roman"/>
              </w:rPr>
              <w:t xml:space="preserve"> Report on the results of moiré over MATBG (18)</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WP2</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rPr>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D2.4</w:t>
            </w:r>
            <w:r>
              <w:rPr>
                <w:rFonts w:eastAsia="Times New Roman" w:cs="Times New Roman" w:ascii="Times New Roman" w:hAnsi="Times New Roman"/>
              </w:rPr>
              <w:t xml:space="preserve"> Scientific paper after report D2.3 (24)</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WP2</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 xml:space="preserve">IT2.3 </w:t>
            </w:r>
            <w:r>
              <w:rPr>
                <w:rFonts w:eastAsia="Times New Roman" w:cs="Times New Roman" w:ascii="Times New Roman" w:hAnsi="Times New Roman"/>
              </w:rPr>
              <w:t>Fabricate MATBG devices with integrated large-period antidot lattices.(18)</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D2.5</w:t>
            </w:r>
            <w:r>
              <w:rPr>
                <w:rFonts w:eastAsia="Times New Roman" w:cs="Times New Roman" w:ascii="Times New Roman" w:hAnsi="Times New Roman"/>
              </w:rPr>
              <w:t xml:space="preserve"> Report on initial transport and vortex-pinning measurements in antidot-patterned MATBG devices (18)</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WP2</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IT2.4</w:t>
            </w:r>
            <w:r>
              <w:rPr>
                <w:rFonts w:eastAsia="Times New Roman" w:cs="Times New Roman" w:ascii="Times New Roman" w:hAnsi="Times New Roman"/>
              </w:rPr>
              <w:t xml:space="preserve"> Model miniband reconstruction in MATBG with imposed antidot superlattices (18)</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 xml:space="preserve">D2.6 </w:t>
            </w:r>
            <w:r>
              <w:rPr>
                <w:rFonts w:eastAsia="Times New Roman" w:cs="Times New Roman" w:ascii="Times New Roman" w:hAnsi="Times New Roman"/>
              </w:rPr>
              <w:t>Ginzburg–Landau analysis predicting vortex behavior and commensurability signatures (18)</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WP2</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 xml:space="preserve">IT2.5 </w:t>
            </w:r>
            <w:r>
              <w:rPr>
                <w:rFonts w:eastAsia="Times New Roman" w:cs="Times New Roman" w:ascii="Times New Roman" w:hAnsi="Times New Roman"/>
              </w:rPr>
              <w:t>Demonstrate stable super-moiré modulation without twist-angle degradation (24)</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D2.7</w:t>
            </w:r>
            <w:r>
              <w:rPr>
                <w:rFonts w:eastAsia="Times New Roman" w:cs="Times New Roman" w:ascii="Times New Roman" w:hAnsi="Times New Roman"/>
              </w:rPr>
              <w:t xml:space="preserve"> Scientific paper after D2.5 and D2.6 (24)</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WP2</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IT2.6</w:t>
            </w:r>
            <w:r>
              <w:rPr>
                <w:rFonts w:eastAsia="Times New Roman" w:cs="Times New Roman" w:ascii="Times New Roman" w:hAnsi="Times New Roman"/>
              </w:rPr>
              <w:t xml:space="preserve"> Establish TOPAS- and PC-based substrates compatible with our stacking workflow (30).</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 xml:space="preserve">D2.8 </w:t>
            </w:r>
            <w:r>
              <w:rPr>
                <w:rFonts w:eastAsia="Times New Roman" w:cs="Times New Roman" w:ascii="Times New Roman" w:hAnsi="Times New Roman"/>
              </w:rPr>
              <w:t>Report comparing strained (TOPAS/PC) and unstrained (SiO₂) devices and their electronic responses (30)</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WP2</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 xml:space="preserve">IT2.7 </w:t>
            </w:r>
            <w:r>
              <w:rPr>
                <w:rFonts w:eastAsia="Times New Roman" w:cs="Times New Roman" w:ascii="Times New Roman" w:hAnsi="Times New Roman"/>
              </w:rPr>
              <w:t>Comparison between strained (TOPAS/PC) and unstrained (SiO₂) devices in their electronic responses (36)</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D2.9</w:t>
            </w:r>
            <w:r>
              <w:rPr>
                <w:rFonts w:eastAsia="Times New Roman" w:cs="Times New Roman" w:ascii="Times New Roman" w:hAnsi="Times New Roman"/>
              </w:rPr>
              <w:t xml:space="preserve"> Scientific paper after report D2.8 (36)</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WP2</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 xml:space="preserve">IT2.8 </w:t>
            </w:r>
            <w:r>
              <w:rPr>
                <w:rFonts w:eastAsia="Times New Roman" w:cs="Times New Roman" w:ascii="Times New Roman" w:hAnsi="Times New Roman"/>
              </w:rPr>
              <w:t>Model superconducting proximity effects and edge-state coupling in semi-Dirac systems (12)</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 xml:space="preserve">D2.10 </w:t>
            </w:r>
            <w:r>
              <w:rPr>
                <w:rFonts w:eastAsia="Times New Roman" w:cs="Times New Roman" w:ascii="Times New Roman" w:hAnsi="Times New Roman"/>
              </w:rPr>
              <w:t>Theoretical report identifying regimes with robust zero-energy edge states and effective p-wave pairing (12)</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WP2</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rPr>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b/>
                <w:bCs/>
              </w:rPr>
            </w:pPr>
            <w:r>
              <w:rPr>
                <w:rFonts w:eastAsia="Times New Roman" w:cs="Times New Roman" w:ascii="Times New Roman" w:hAnsi="Times New Roman"/>
                <w:b/>
                <w:bCs/>
              </w:rPr>
              <w:t xml:space="preserve">D2.11 </w:t>
            </w:r>
            <w:r>
              <w:rPr>
                <w:rFonts w:eastAsia="Times New Roman" w:cs="Times New Roman" w:ascii="Times New Roman" w:hAnsi="Times New Roman"/>
              </w:rPr>
              <w:t>Scientific paper after report D2.10 (18)</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WP3</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IT3.1</w:t>
            </w:r>
            <w:r>
              <w:rPr>
                <w:rFonts w:eastAsia="Times New Roman" w:cs="Times New Roman" w:ascii="Times New Roman" w:hAnsi="Times New Roman"/>
              </w:rPr>
              <w:t xml:space="preserve"> Implementation of efficient Green’s function Double Sweep Method for large systems (12)</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 xml:space="preserve">D3.1 </w:t>
            </w:r>
            <w:r>
              <w:rPr>
                <w:rFonts w:eastAsia="Times New Roman" w:cs="Times New Roman" w:ascii="Times New Roman" w:hAnsi="Times New Roman"/>
              </w:rPr>
              <w:t>Report on the comparison of the results  between our previous computational approaches and the novel implementation (18)</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 xml:space="preserve">WP3 </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b/>
                <w:bCs/>
              </w:rPr>
            </w:pPr>
            <w:r>
              <w:rPr>
                <w:rFonts w:eastAsia="Times New Roman" w:cs="Times New Roman" w:ascii="Times New Roman" w:hAnsi="Times New Roman"/>
                <w:b/>
                <w:bCs/>
              </w:rPr>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 xml:space="preserve">D3.2 </w:t>
            </w:r>
            <w:r>
              <w:rPr>
                <w:rFonts w:eastAsia="Times New Roman" w:cs="Times New Roman" w:ascii="Times New Roman" w:hAnsi="Times New Roman"/>
              </w:rPr>
              <w:t>Scientific paper on transport in moiré 1D systems (24)</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 xml:space="preserve">WP3 </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 xml:space="preserve">IT3.2 </w:t>
            </w:r>
            <w:r>
              <w:rPr>
                <w:rFonts w:eastAsia="Times New Roman" w:cs="Times New Roman" w:ascii="Times New Roman" w:hAnsi="Times New Roman"/>
              </w:rPr>
              <w:t xml:space="preserve">Simulations of type- 5 pentamaterials with </w:t>
            </w:r>
            <w:r>
              <w:rPr>
                <w:rFonts w:eastAsia="Times New Roman" w:cs="Times New Roman" w:ascii="Times New Roman" w:hAnsi="Times New Roman"/>
                <w:i/>
                <w:iCs/>
              </w:rPr>
              <w:t>ab-initio</w:t>
            </w:r>
            <w:r>
              <w:rPr>
                <w:rFonts w:eastAsia="Times New Roman" w:cs="Times New Roman" w:ascii="Times New Roman" w:hAnsi="Times New Roman"/>
              </w:rPr>
              <w:t xml:space="preserve"> codes and derivation of semiempirical models (12)</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 xml:space="preserve">D3.3 </w:t>
            </w:r>
            <w:r>
              <w:rPr>
                <w:rFonts w:eastAsia="Times New Roman" w:cs="Times New Roman" w:ascii="Times New Roman" w:hAnsi="Times New Roman"/>
              </w:rPr>
              <w:t>Report on the electronic properties on the different pentamaterials studied (18)</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 xml:space="preserve">WP3 </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b/>
                <w:bCs/>
              </w:rPr>
            </w:pPr>
            <w:r>
              <w:rPr>
                <w:rFonts w:eastAsia="Times New Roman" w:cs="Times New Roman" w:ascii="Times New Roman" w:hAnsi="Times New Roman"/>
                <w:b/>
                <w:bCs/>
              </w:rPr>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 xml:space="preserve">D3.4 </w:t>
            </w:r>
            <w:r>
              <w:rPr>
                <w:rFonts w:eastAsia="Times New Roman" w:cs="Times New Roman" w:ascii="Times New Roman" w:hAnsi="Times New Roman"/>
              </w:rPr>
              <w:t>Scientific paper on type-5 pentamaterials (24)</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 xml:space="preserve">WP3 </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IT3.3</w:t>
            </w:r>
            <w:r>
              <w:rPr>
                <w:rFonts w:eastAsia="Times New Roman" w:cs="Times New Roman" w:ascii="Times New Roman" w:hAnsi="Times New Roman"/>
              </w:rPr>
              <w:t xml:space="preserve"> Model 1D spin chains to study parity breaking equilibrium states and its thermalization (9) </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D3.5</w:t>
            </w:r>
            <w:r>
              <w:rPr>
                <w:rFonts w:eastAsia="Times New Roman" w:cs="Times New Roman" w:ascii="Times New Roman" w:hAnsi="Times New Roman"/>
              </w:rPr>
              <w:t xml:space="preserve"> Scientific paper on thermalization of magnetic equilibrium states in 1D systems (12)</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 xml:space="preserve">WP3 </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IT3.4</w:t>
            </w:r>
            <w:r>
              <w:rPr>
                <w:rFonts w:eastAsia="Times New Roman" w:cs="Times New Roman" w:ascii="Times New Roman" w:hAnsi="Times New Roman"/>
              </w:rPr>
              <w:t xml:space="preserve"> Simulations of transport in heterostrained graphene bilayers (6) </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D3.6</w:t>
            </w:r>
            <w:r>
              <w:rPr>
                <w:rFonts w:eastAsia="Times New Roman" w:cs="Times New Roman" w:ascii="Times New Roman" w:hAnsi="Times New Roman"/>
              </w:rPr>
              <w:t xml:space="preserve">  Scientific paper on quantum transport in bilayer heterostrained graphene  (9)</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 xml:space="preserve">WP3 </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IT3.5</w:t>
            </w:r>
            <w:r>
              <w:rPr>
                <w:rFonts w:eastAsia="Times New Roman" w:cs="Times New Roman" w:ascii="Times New Roman" w:hAnsi="Times New Roman"/>
              </w:rPr>
              <w:t xml:space="preserve"> Modeling antidot lattices in TBG with strain (12) </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 xml:space="preserve">D3.7 </w:t>
            </w:r>
            <w:r>
              <w:rPr>
                <w:rFonts w:eastAsia="Times New Roman" w:cs="Times New Roman" w:ascii="Times New Roman" w:hAnsi="Times New Roman"/>
              </w:rPr>
              <w:t>Report on the simulations of holey TBG  (12)</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 xml:space="preserve">WP3 </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b/>
                <w:bCs/>
              </w:rPr>
            </w:pPr>
            <w:r>
              <w:rPr>
                <w:rFonts w:eastAsia="Times New Roman" w:cs="Times New Roman" w:ascii="Times New Roman" w:hAnsi="Times New Roman"/>
                <w:b/>
                <w:bCs/>
              </w:rPr>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 xml:space="preserve">D3.8 </w:t>
            </w:r>
            <w:r>
              <w:rPr>
                <w:rFonts w:eastAsia="Times New Roman" w:cs="Times New Roman" w:ascii="Times New Roman" w:hAnsi="Times New Roman"/>
              </w:rPr>
              <w:t>Scientific papers on theory and experiments on holey TBG (30)</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 xml:space="preserve">WP3 </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IT3.6</w:t>
            </w:r>
            <w:r>
              <w:rPr>
                <w:rFonts w:eastAsia="Times New Roman" w:cs="Times New Roman" w:ascii="Times New Roman" w:hAnsi="Times New Roman"/>
              </w:rPr>
              <w:t xml:space="preserve"> Model and simulation of systems with BICs (18)</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D3.9</w:t>
            </w:r>
            <w:r>
              <w:rPr>
                <w:rFonts w:eastAsia="Times New Roman" w:cs="Times New Roman" w:ascii="Times New Roman" w:hAnsi="Times New Roman"/>
              </w:rPr>
              <w:t xml:space="preserve">  Scientific paper on quantum transport in symmetry broken systems revealing BICs  (24)</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 xml:space="preserve">WP3 </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 xml:space="preserve">IT3.7 </w:t>
            </w:r>
            <w:r>
              <w:rPr>
                <w:rFonts w:eastAsia="Times New Roman" w:cs="Times New Roman" w:ascii="Times New Roman" w:hAnsi="Times New Roman"/>
              </w:rPr>
              <w:t xml:space="preserve">Model of SSH 1D chains in an alternating electric field (9) </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D3.10</w:t>
            </w:r>
            <w:r>
              <w:rPr>
                <w:rFonts w:eastAsia="Times New Roman" w:cs="Times New Roman" w:ascii="Times New Roman" w:hAnsi="Times New Roman"/>
              </w:rPr>
              <w:t xml:space="preserve"> Scientific paper on topological states in SSH subject to time-dependent electric fields (18)</w:t>
            </w:r>
          </w:p>
        </w:tc>
      </w:tr>
      <w:tr>
        <w:trPr>
          <w:trHeight w:val="804" w:hRule="atLeast"/>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 xml:space="preserve">WP3 </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IT3.8</w:t>
            </w:r>
            <w:r>
              <w:rPr>
                <w:rFonts w:eastAsia="Times New Roman" w:cs="Times New Roman" w:ascii="Times New Roman" w:hAnsi="Times New Roman"/>
              </w:rPr>
              <w:t xml:space="preserve"> Simulation of Floquet time-driven systems  with a topological phase  (24) </w:t>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D3.11</w:t>
            </w:r>
            <w:r>
              <w:rPr>
                <w:rFonts w:eastAsia="Times New Roman" w:cs="Times New Roman" w:ascii="Times New Roman" w:hAnsi="Times New Roman"/>
              </w:rPr>
              <w:t xml:space="preserve"> Scientific paper on emergence of surface/edges states in time-driven topological systems (30)</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WP4</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rPr>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 xml:space="preserve">D4.1 </w:t>
            </w:r>
            <w:r>
              <w:rPr>
                <w:rFonts w:eastAsia="Times New Roman" w:cs="Times New Roman" w:ascii="Times New Roman" w:hAnsi="Times New Roman"/>
              </w:rPr>
              <w:t>Meeting with Unidad de Protección Intelectual at USAL to present the planned devices (3)</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WP4</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rPr>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b/>
                <w:bCs/>
              </w:rPr>
            </w:pPr>
            <w:r>
              <w:rPr>
                <w:rFonts w:eastAsia="Times New Roman" w:cs="Times New Roman" w:ascii="Times New Roman" w:hAnsi="Times New Roman"/>
                <w:b/>
                <w:bCs/>
              </w:rPr>
              <w:t xml:space="preserve">D4.2 </w:t>
            </w:r>
            <w:r>
              <w:rPr>
                <w:rFonts w:eastAsia="Times New Roman" w:cs="Times New Roman" w:ascii="Times New Roman" w:hAnsi="Times New Roman"/>
              </w:rPr>
              <w:t>One-day coordination workshop (3,15,27)</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WP4</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rPr>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D4.3</w:t>
            </w:r>
            <w:r>
              <w:rPr>
                <w:rFonts w:eastAsia="Times New Roman" w:cs="Times New Roman" w:ascii="Times New Roman" w:hAnsi="Times New Roman"/>
              </w:rPr>
              <w:t xml:space="preserve"> Data management plan (12, 24,36)</w:t>
            </w:r>
          </w:p>
        </w:tc>
      </w:tr>
      <w:tr>
        <w:trPr/>
        <w:tc>
          <w:tcPr>
            <w:tcW w:w="91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jc w:val="center"/>
              <w:rPr>
                <w:rFonts w:ascii="Times New Roman" w:hAnsi="Times New Roman" w:eastAsia="Times New Roman" w:cs="Times New Roman"/>
              </w:rPr>
            </w:pPr>
            <w:r>
              <w:rPr>
                <w:rFonts w:eastAsia="Times New Roman" w:cs="Times New Roman" w:ascii="Times New Roman" w:hAnsi="Times New Roman"/>
              </w:rPr>
              <w:t>WP4</w:t>
            </w:r>
          </w:p>
        </w:tc>
        <w:tc>
          <w:tcPr>
            <w:tcW w:w="4260"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rPr>
            </w:r>
          </w:p>
        </w:tc>
        <w:tc>
          <w:tcPr>
            <w:tcW w:w="425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lineRule="auto" w:line="240" w:before="0" w:after="0"/>
              <w:rPr>
                <w:rFonts w:ascii="Times New Roman" w:hAnsi="Times New Roman" w:eastAsia="Times New Roman" w:cs="Times New Roman"/>
              </w:rPr>
            </w:pPr>
            <w:r>
              <w:rPr>
                <w:rFonts w:eastAsia="Times New Roman" w:cs="Times New Roman" w:ascii="Times New Roman" w:hAnsi="Times New Roman"/>
                <w:b/>
                <w:bCs/>
              </w:rPr>
              <w:t>D4.4</w:t>
            </w:r>
            <w:r>
              <w:rPr>
                <w:rFonts w:eastAsia="Times New Roman" w:cs="Times New Roman" w:ascii="Times New Roman" w:hAnsi="Times New Roman"/>
              </w:rPr>
              <w:t xml:space="preserve"> Outreach activity reports (12, 24,36)</w:t>
            </w:r>
          </w:p>
        </w:tc>
      </w:tr>
    </w:tbl>
    <w:p>
      <w:pPr>
        <w:pStyle w:val="Normal"/>
        <w:spacing w:lineRule="auto" w:line="240" w:before="0" w:after="0"/>
        <w:jc w:val="both"/>
        <w:rPr>
          <w:rFonts w:ascii="Times New Roman" w:hAnsi="Times New Roman" w:eastAsia="Times New Roman" w:cs="Times New Roman"/>
          <w:b/>
          <w:bCs/>
          <w:sz w:val="18"/>
          <w:szCs w:val="18"/>
        </w:rPr>
      </w:pPr>
      <w:r>
        <w:rPr>
          <w:rFonts w:eastAsia="Times New Roman" w:cs="Times New Roman" w:ascii="Times New Roman" w:hAnsi="Times New Roman"/>
          <w:b/>
          <w:bCs/>
          <w:sz w:val="18"/>
          <w:szCs w:val="18"/>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Table 1</w:t>
      </w:r>
      <w:r>
        <w:rPr>
          <w:rFonts w:eastAsia="Times New Roman" w:cs="Times New Roman" w:ascii="Times New Roman" w:hAnsi="Times New Roman"/>
        </w:rPr>
        <w:t>: Intermediate targets and deliverables within each WP.</w:t>
      </w:r>
    </w:p>
    <w:p>
      <w:pPr>
        <w:pStyle w:val="Normal"/>
        <w:spacing w:lineRule="auto" w:line="240" w:before="0" w:after="0"/>
        <w:jc w:val="both"/>
        <w:rPr>
          <w:rFonts w:ascii="Times New Roman" w:hAnsi="Times New Roman" w:eastAsia="Times New Roman" w:cs="Times New Roman"/>
          <w:sz w:val="18"/>
          <w:szCs w:val="18"/>
        </w:rPr>
      </w:pPr>
      <w:r>
        <w:rPr>
          <w:rFonts w:eastAsia="Times New Roman" w:cs="Times New Roman" w:ascii="Times New Roman" w:hAnsi="Times New Roman"/>
          <w:sz w:val="18"/>
          <w:szCs w:val="18"/>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Schedule of the activities are presented in following Gantt chart</w:t>
      </w:r>
    </w:p>
    <w:p>
      <w:pPr>
        <w:pStyle w:val="Normal"/>
        <w:spacing w:lineRule="auto" w:line="240" w:before="0" w:after="0"/>
        <w:jc w:val="both"/>
        <w:rPr>
          <w:rFonts w:ascii="Times New Roman" w:hAnsi="Times New Roman" w:eastAsia="Times New Roman" w:cs="Times New Roman"/>
          <w:sz w:val="18"/>
          <w:szCs w:val="18"/>
        </w:rPr>
      </w:pPr>
      <w:r>
        <w:rPr>
          <w:rFonts w:eastAsia="Times New Roman" w:cs="Times New Roman" w:ascii="Times New Roman" w:hAnsi="Times New Roman"/>
          <w:sz w:val="18"/>
          <w:szCs w:val="18"/>
        </w:rPr>
      </w:r>
    </w:p>
    <w:p>
      <w:pPr>
        <w:pStyle w:val="Normal"/>
        <w:spacing w:lineRule="auto" w:line="240" w:before="0" w:after="0"/>
        <w:jc w:val="both"/>
        <w:rPr>
          <w:rFonts w:ascii="Arial" w:hAnsi="Arial" w:eastAsia="Arial" w:cs="Arial"/>
        </w:rPr>
      </w:pPr>
      <w:r>
        <w:rPr/>
        <w:drawing>
          <wp:inline distT="0" distB="0" distL="0" distR="0">
            <wp:extent cx="5579745" cy="3869055"/>
            <wp:effectExtent l="0" t="0" r="0" b="0"/>
            <wp:docPr id="11" name="image9.png"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9.png" descr="Tabla&#10;&#10;El contenido generado por IA puede ser incorrecto."/>
                    <pic:cNvPicPr>
                      <a:picLocks noChangeAspect="1" noChangeArrowheads="1"/>
                    </pic:cNvPicPr>
                  </pic:nvPicPr>
                  <pic:blipFill>
                    <a:blip r:embed="rId11"/>
                    <a:stretch>
                      <a:fillRect/>
                    </a:stretch>
                  </pic:blipFill>
                  <pic:spPr bwMode="auto">
                    <a:xfrm>
                      <a:off x="0" y="0"/>
                      <a:ext cx="5579745" cy="3869055"/>
                    </a:xfrm>
                    <a:prstGeom prst="rect">
                      <a:avLst/>
                    </a:prstGeom>
                    <a:noFill/>
                  </pic:spPr>
                </pic:pic>
              </a:graphicData>
            </a:graphic>
          </wp:inline>
        </w:drawing>
      </w:r>
    </w:p>
    <w:p>
      <w:pPr>
        <w:pStyle w:val="Normal"/>
        <w:spacing w:lineRule="auto" w:line="240" w:before="0" w:after="0"/>
        <w:jc w:val="both"/>
        <w:rPr>
          <w:rFonts w:ascii="Arial" w:hAnsi="Arial" w:eastAsia="Arial" w:cs="Arial"/>
        </w:rPr>
      </w:pPr>
      <w:r>
        <w:rPr>
          <w:rFonts w:eastAsia="Arial" w:cs="Arial" w:ascii="Arial" w:hAnsi="Arial"/>
        </w:rPr>
      </w:r>
    </w:p>
    <w:p>
      <w:pPr>
        <w:pStyle w:val="Normal"/>
        <w:numPr>
          <w:ilvl w:val="1"/>
          <w:numId w:val="1"/>
        </w:numPr>
        <w:pBdr/>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rPr>
        <w:t>Identification of critical points and contingency plan.</w:t>
      </w:r>
      <w:r>
        <w:rPr>
          <w:rFonts w:eastAsia="Times New Roman" w:cs="Times New Roman" w:ascii="Times New Roman" w:hAnsi="Times New Roman"/>
        </w:rPr>
        <w:t xml:space="preserve"> </w:t>
        <w:tab/>
        <w:t xml:space="preserve"> </w:t>
        <w:tab/>
      </w:r>
    </w:p>
    <w:p>
      <w:pPr>
        <w:pStyle w:val="Normal"/>
        <w:spacing w:lineRule="auto" w:line="240" w:before="0" w:after="100"/>
        <w:jc w:val="both"/>
        <w:rPr>
          <w:rFonts w:ascii="Times New Roman" w:hAnsi="Times New Roman" w:eastAsia="Times New Roman" w:cs="Times New Roman"/>
          <w:sz w:val="18"/>
          <w:szCs w:val="18"/>
          <w:highlight w:val="yellow"/>
        </w:rPr>
      </w:pPr>
      <w:r>
        <w:rPr>
          <w:rFonts w:eastAsia="Times New Roman" w:cs="Times New Roman" w:ascii="Times New Roman" w:hAnsi="Times New Roman"/>
        </w:rPr>
        <w:t>Below, we assess the likelihood and the severity of the risks associated with every WP of the research plan and point out the mitigation measures and contingency plan.</w:t>
      </w:r>
    </w:p>
    <w:p>
      <w:pPr>
        <w:pStyle w:val="Normal"/>
        <w:spacing w:lineRule="auto" w:line="240" w:before="0" w:after="0"/>
        <w:jc w:val="both"/>
        <w:rPr>
          <w:rFonts w:ascii="Arial" w:hAnsi="Arial" w:eastAsia="Arial" w:cs="Arial"/>
          <w:b/>
          <w:bCs/>
          <w:sz w:val="18"/>
          <w:szCs w:val="18"/>
        </w:rPr>
      </w:pPr>
      <w:r>
        <w:rPr>
          <w:rFonts w:eastAsia="Arial" w:cs="Arial" w:ascii="Arial" w:hAnsi="Arial"/>
          <w:b/>
          <w:bCs/>
          <w:sz w:val="18"/>
          <w:szCs w:val="18"/>
        </w:rPr>
      </w:r>
    </w:p>
    <w:tbl>
      <w:tblPr>
        <w:tblStyle w:val="a8"/>
        <w:tblW w:w="9045" w:type="dxa"/>
        <w:jc w:val="left"/>
        <w:tblInd w:w="0" w:type="dxa"/>
        <w:tblLayout w:type="fixed"/>
        <w:tblCellMar>
          <w:top w:w="0" w:type="dxa"/>
          <w:left w:w="0" w:type="dxa"/>
          <w:bottom w:w="0" w:type="dxa"/>
          <w:right w:w="0" w:type="dxa"/>
        </w:tblCellMar>
        <w:tblLook w:val="0600" w:noHBand="1" w:noVBand="1" w:firstColumn="0" w:lastRow="0" w:lastColumn="0" w:firstRow="0"/>
      </w:tblPr>
      <w:tblGrid>
        <w:gridCol w:w="2100"/>
        <w:gridCol w:w="900"/>
        <w:gridCol w:w="6045"/>
      </w:tblGrid>
      <w:tr>
        <w:trPr/>
        <w:tc>
          <w:tcPr>
            <w:tcW w:w="2100" w:type="dxa"/>
            <w:tcBorders>
              <w:top w:val="single" w:sz="8" w:space="0" w:color="000000"/>
              <w:left w:val="single" w:sz="8" w:space="0" w:color="000000"/>
              <w:bottom w:val="single" w:sz="8" w:space="0" w:color="000000"/>
              <w:right w:val="single" w:sz="8" w:space="0" w:color="000000"/>
            </w:tcBorders>
            <w:shd w:color="auto" w:fill="FFD966" w:val="clear"/>
            <w:vAlign w:val="center"/>
          </w:tcPr>
          <w:p>
            <w:pPr>
              <w:pStyle w:val="Normal"/>
              <w:widowControl w:val="false"/>
              <w:pBdr/>
              <w:spacing w:lineRule="auto" w:line="240" w:before="0" w:after="0"/>
              <w:jc w:val="center"/>
              <w:rPr>
                <w:rFonts w:ascii="Times New Roman" w:hAnsi="Times New Roman" w:eastAsia="Times New Roman" w:cs="Times New Roman"/>
                <w:b/>
                <w:bCs/>
              </w:rPr>
            </w:pPr>
            <w:r>
              <w:rPr>
                <w:rFonts w:eastAsia="Times New Roman" w:cs="Times New Roman" w:ascii="Times New Roman" w:hAnsi="Times New Roman"/>
                <w:b/>
                <w:bCs/>
              </w:rPr>
              <w:t xml:space="preserve">Description </w:t>
            </w:r>
          </w:p>
          <w:p>
            <w:pPr>
              <w:pStyle w:val="Normal"/>
              <w:widowControl w:val="false"/>
              <w:pBdr/>
              <w:spacing w:lineRule="auto" w:line="240" w:before="0" w:after="0"/>
              <w:jc w:val="center"/>
              <w:rPr>
                <w:rFonts w:ascii="Times New Roman" w:hAnsi="Times New Roman" w:eastAsia="Times New Roman" w:cs="Times New Roman"/>
                <w:b/>
                <w:bCs/>
              </w:rPr>
            </w:pPr>
            <w:r>
              <w:rPr>
                <w:rFonts w:eastAsia="Times New Roman" w:cs="Times New Roman" w:ascii="Times New Roman" w:hAnsi="Times New Roman"/>
                <w:b/>
                <w:bCs/>
              </w:rPr>
              <w:t>of risks</w:t>
            </w:r>
          </w:p>
        </w:tc>
        <w:tc>
          <w:tcPr>
            <w:tcW w:w="900" w:type="dxa"/>
            <w:tcBorders>
              <w:top w:val="single" w:sz="8" w:space="0" w:color="000000"/>
              <w:left w:val="single" w:sz="8" w:space="0" w:color="000000"/>
              <w:bottom w:val="single" w:sz="8" w:space="0" w:color="000000"/>
              <w:right w:val="single" w:sz="8" w:space="0" w:color="000000"/>
            </w:tcBorders>
            <w:shd w:color="auto" w:fill="FFD966" w:val="clear"/>
            <w:vAlign w:val="center"/>
          </w:tcPr>
          <w:p>
            <w:pPr>
              <w:pStyle w:val="Normal"/>
              <w:widowControl w:val="false"/>
              <w:pBdr/>
              <w:spacing w:lineRule="auto" w:line="240" w:before="0" w:after="0"/>
              <w:jc w:val="center"/>
              <w:rPr>
                <w:rFonts w:ascii="Times New Roman" w:hAnsi="Times New Roman" w:eastAsia="Times New Roman" w:cs="Times New Roman"/>
                <w:b/>
                <w:bCs/>
              </w:rPr>
            </w:pPr>
            <w:r>
              <w:rPr>
                <w:rFonts w:eastAsia="Times New Roman" w:cs="Times New Roman" w:ascii="Times New Roman" w:hAnsi="Times New Roman"/>
                <w:b/>
                <w:bCs/>
              </w:rPr>
              <w:t>WP</w:t>
            </w:r>
          </w:p>
        </w:tc>
        <w:tc>
          <w:tcPr>
            <w:tcW w:w="6045" w:type="dxa"/>
            <w:tcBorders>
              <w:top w:val="single" w:sz="8" w:space="0" w:color="000000"/>
              <w:left w:val="single" w:sz="8" w:space="0" w:color="000000"/>
              <w:bottom w:val="single" w:sz="8" w:space="0" w:color="000000"/>
              <w:right w:val="single" w:sz="8" w:space="0" w:color="000000"/>
            </w:tcBorders>
            <w:shd w:color="auto" w:fill="FFD966" w:val="clear"/>
            <w:vAlign w:val="center"/>
          </w:tcPr>
          <w:p>
            <w:pPr>
              <w:pStyle w:val="Normal"/>
              <w:widowControl w:val="false"/>
              <w:spacing w:lineRule="auto" w:line="240" w:before="0" w:after="0"/>
              <w:jc w:val="center"/>
              <w:rPr>
                <w:rFonts w:ascii="Times New Roman" w:hAnsi="Times New Roman" w:eastAsia="Times New Roman" w:cs="Times New Roman"/>
                <w:b/>
                <w:bCs/>
              </w:rPr>
            </w:pPr>
            <w:r>
              <w:rPr>
                <w:rFonts w:eastAsia="Times New Roman" w:cs="Times New Roman" w:ascii="Times New Roman" w:hAnsi="Times New Roman"/>
                <w:b/>
                <w:bCs/>
              </w:rPr>
              <w:t>Mitigation measures</w:t>
            </w:r>
          </w:p>
          <w:p>
            <w:pPr>
              <w:pStyle w:val="Normal"/>
              <w:widowControl w:val="false"/>
              <w:spacing w:lineRule="auto" w:line="240" w:before="0" w:after="0"/>
              <w:jc w:val="center"/>
              <w:rPr>
                <w:rFonts w:ascii="Times New Roman" w:hAnsi="Times New Roman" w:eastAsia="Times New Roman" w:cs="Times New Roman"/>
                <w:b/>
                <w:bCs/>
              </w:rPr>
            </w:pPr>
            <w:r>
              <w:rPr>
                <w:rFonts w:eastAsia="Times New Roman" w:cs="Times New Roman" w:ascii="Times New Roman" w:hAnsi="Times New Roman"/>
                <w:b/>
                <w:bCs/>
              </w:rPr>
              <w:t>and contingency plan</w:t>
            </w:r>
          </w:p>
        </w:tc>
      </w:tr>
      <w:tr>
        <w:trPr/>
        <w:tc>
          <w:tcPr>
            <w:tcW w:w="2100" w:type="dxa"/>
            <w:tcBorders>
              <w:top w:val="single" w:sz="8" w:space="0" w:color="000000"/>
              <w:left w:val="single" w:sz="8" w:space="0" w:color="000000"/>
              <w:bottom w:val="single" w:sz="8" w:space="0" w:color="000000"/>
              <w:right w:val="single" w:sz="8" w:space="0" w:color="000000"/>
            </w:tcBorders>
            <w:shd w:color="auto" w:fill="EFEFEF" w:val="clear"/>
            <w:vAlign w:val="center"/>
          </w:tcPr>
          <w:p>
            <w:pPr>
              <w:pStyle w:val="Normal"/>
              <w:widowControl w:val="false"/>
              <w:spacing w:lineRule="auto" w:line="240" w:before="0" w:after="0"/>
              <w:rPr>
                <w:rFonts w:ascii="Times New Roman" w:hAnsi="Times New Roman" w:eastAsia="Times New Roman" w:cs="Times New Roman"/>
                <w:sz w:val="20"/>
                <w:szCs w:val="20"/>
              </w:rPr>
            </w:pPr>
            <w:r>
              <w:rPr>
                <w:rFonts w:eastAsia="Times New Roman" w:cs="Times New Roman" w:ascii="Times New Roman" w:hAnsi="Times New Roman"/>
                <w:sz w:val="20"/>
                <w:szCs w:val="20"/>
              </w:rPr>
              <w:t>E-beam evaporation issues:</w:t>
            </w:r>
          </w:p>
          <w:p>
            <w:pPr>
              <w:pStyle w:val="Normal"/>
              <w:widowControl w:val="false"/>
              <w:spacing w:lineRule="auto" w:line="240" w:before="0" w:after="0"/>
              <w:rPr>
                <w:rFonts w:ascii="Times New Roman" w:hAnsi="Times New Roman" w:eastAsia="Times New Roman" w:cs="Times New Roman"/>
                <w:sz w:val="20"/>
                <w:szCs w:val="20"/>
              </w:rPr>
            </w:pPr>
            <w:r>
              <w:rPr>
                <w:rFonts w:eastAsia="Times New Roman" w:cs="Times New Roman" w:ascii="Times New Roman" w:hAnsi="Times New Roman"/>
                <w:sz w:val="20"/>
                <w:szCs w:val="20"/>
              </w:rPr>
              <w:t>i) L and ii) H</w:t>
            </w:r>
          </w:p>
        </w:tc>
        <w:tc>
          <w:tcPr>
            <w:tcW w:w="900" w:type="dxa"/>
            <w:tcBorders>
              <w:top w:val="single" w:sz="8" w:space="0" w:color="000000"/>
              <w:left w:val="single" w:sz="8" w:space="0" w:color="000000"/>
              <w:bottom w:val="single" w:sz="8" w:space="0" w:color="000000"/>
              <w:right w:val="single" w:sz="8" w:space="0" w:color="000000"/>
            </w:tcBorders>
            <w:shd w:color="auto" w:fill="EFEFEF" w:val="clear"/>
            <w:vAlign w:val="center"/>
          </w:tcPr>
          <w:p>
            <w:pPr>
              <w:pStyle w:val="Normal"/>
              <w:widowControl w:val="false"/>
              <w:spacing w:lineRule="auto" w:line="240" w:before="0" w:after="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WP1</w:t>
            </w:r>
          </w:p>
        </w:tc>
        <w:tc>
          <w:tcPr>
            <w:tcW w:w="6045" w:type="dxa"/>
            <w:tcBorders>
              <w:top w:val="single" w:sz="8" w:space="0" w:color="000000"/>
              <w:left w:val="single" w:sz="8" w:space="0" w:color="000000"/>
              <w:bottom w:val="single" w:sz="8" w:space="0" w:color="000000"/>
              <w:right w:val="single" w:sz="8" w:space="0" w:color="000000"/>
            </w:tcBorders>
            <w:shd w:color="auto" w:fill="EFEFEF" w:val="clear"/>
            <w:vAlign w:val="center"/>
          </w:tcPr>
          <w:p>
            <w:pPr>
              <w:pStyle w:val="Normal"/>
              <w:spacing w:lineRule="auto" w:line="240" w:before="0" w:after="100"/>
              <w:jc w:val="both"/>
              <w:rPr>
                <w:rFonts w:ascii="Times New Roman" w:hAnsi="Times New Roman" w:eastAsia="Times New Roman" w:cs="Times New Roman"/>
                <w:sz w:val="20"/>
                <w:szCs w:val="20"/>
              </w:rPr>
            </w:pPr>
            <w:r>
              <w:rPr>
                <w:rFonts w:eastAsia="Times New Roman" w:cs="Times New Roman" w:ascii="Times New Roman" w:hAnsi="Times New Roman"/>
                <w:sz w:val="20"/>
                <w:szCs w:val="20"/>
              </w:rPr>
              <w:t>Although our antenna manufacturing system has always proven to be very reliable, we could fabricate dual-grating graphite antennas as an alternative to the standard procedure used in our group. This will save the last step of e-beam evaporation, simplifying the fabrication procedure. Although we can try to combine it with a bow-tie antenna to enhance the responsivity as we did recently for standard GFETs.</w:t>
            </w:r>
          </w:p>
        </w:tc>
      </w:tr>
      <w:tr>
        <w:trPr/>
        <w:tc>
          <w:tcPr>
            <w:tcW w:w="2100"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240" w:before="0" w:after="0"/>
              <w:rPr>
                <w:rFonts w:ascii="Times New Roman" w:hAnsi="Times New Roman" w:eastAsia="Times New Roman" w:cs="Times New Roman"/>
                <w:sz w:val="20"/>
                <w:szCs w:val="20"/>
              </w:rPr>
            </w:pPr>
            <w:r>
              <w:rPr>
                <w:rFonts w:eastAsia="Times New Roman" w:cs="Times New Roman" w:ascii="Times New Roman" w:hAnsi="Times New Roman"/>
                <w:sz w:val="20"/>
                <w:szCs w:val="20"/>
              </w:rPr>
              <w:t xml:space="preserve">Accuracy of numerical simulations: </w:t>
            </w:r>
          </w:p>
          <w:p>
            <w:pPr>
              <w:pStyle w:val="Normal"/>
              <w:spacing w:lineRule="auto" w:line="240" w:before="0" w:after="0"/>
              <w:rPr>
                <w:rFonts w:ascii="Times New Roman" w:hAnsi="Times New Roman" w:eastAsia="Times New Roman" w:cs="Times New Roman"/>
                <w:sz w:val="20"/>
                <w:szCs w:val="20"/>
              </w:rPr>
            </w:pPr>
            <w:r>
              <w:rPr>
                <w:rFonts w:eastAsia="Times New Roman" w:cs="Times New Roman" w:ascii="Times New Roman" w:hAnsi="Times New Roman"/>
                <w:sz w:val="20"/>
                <w:szCs w:val="20"/>
              </w:rPr>
              <w:t>i) L and ii) L</w:t>
            </w:r>
          </w:p>
        </w:tc>
        <w:tc>
          <w:tcPr>
            <w:tcW w:w="900"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240" w:before="0" w:after="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 xml:space="preserve">WP1 </w:t>
            </w:r>
          </w:p>
        </w:tc>
        <w:tc>
          <w:tcPr>
            <w:tcW w:w="6045"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240" w:before="0" w:after="100"/>
              <w:jc w:val="both"/>
              <w:rPr>
                <w:rFonts w:ascii="Times New Roman" w:hAnsi="Times New Roman" w:eastAsia="Times New Roman" w:cs="Times New Roman"/>
                <w:sz w:val="20"/>
                <w:szCs w:val="20"/>
              </w:rPr>
            </w:pPr>
            <w:r>
              <w:rPr>
                <w:rFonts w:eastAsia="Times New Roman" w:cs="Times New Roman" w:ascii="Times New Roman" w:hAnsi="Times New Roman"/>
                <w:sz w:val="20"/>
                <w:szCs w:val="20"/>
              </w:rPr>
              <w:t>Our numerical codes for solving the electron Boltzmann equation already allowed members of SP1 to reproduce the experiments carried out by the members of SP2 [EST25a]. This time, we reduce the size of the device, which increases the computation time, yet the risks are considered low. Indeed, we hope to improve the reliability of the theoretical predictions further if we obtain the computational resources included in the proposed budget.</w:t>
            </w:r>
          </w:p>
        </w:tc>
      </w:tr>
      <w:tr>
        <w:trPr/>
        <w:tc>
          <w:tcPr>
            <w:tcW w:w="2100" w:type="dxa"/>
            <w:tcBorders>
              <w:top w:val="single" w:sz="8" w:space="0" w:color="000000"/>
              <w:left w:val="single" w:sz="8" w:space="0" w:color="000000"/>
              <w:bottom w:val="single" w:sz="8" w:space="0" w:color="000000"/>
              <w:right w:val="single" w:sz="8" w:space="0" w:color="000000"/>
            </w:tcBorders>
            <w:shd w:color="auto" w:fill="EFEFEF" w:val="clear"/>
            <w:vAlign w:val="center"/>
          </w:tcPr>
          <w:p>
            <w:pPr>
              <w:pStyle w:val="Normal"/>
              <w:pBdr/>
              <w:spacing w:lineRule="auto" w:line="240" w:before="0" w:after="0"/>
              <w:rPr>
                <w:rFonts w:ascii="Times New Roman" w:hAnsi="Times New Roman" w:eastAsia="Times New Roman" w:cs="Times New Roman"/>
                <w:sz w:val="20"/>
                <w:szCs w:val="20"/>
              </w:rPr>
            </w:pPr>
            <w:r>
              <w:rPr>
                <w:rFonts w:eastAsia="Times New Roman" w:cs="Times New Roman" w:ascii="Times New Roman" w:hAnsi="Times New Roman"/>
                <w:sz w:val="20"/>
                <w:szCs w:val="20"/>
              </w:rPr>
              <w:t>Solution to the phonon Boltzmann transport equation:</w:t>
            </w:r>
          </w:p>
          <w:p>
            <w:pPr>
              <w:pStyle w:val="Normal"/>
              <w:pBdr/>
              <w:spacing w:lineRule="auto" w:line="240" w:before="0" w:after="0"/>
              <w:rPr>
                <w:rFonts w:ascii="Times New Roman" w:hAnsi="Times New Roman" w:eastAsia="Times New Roman" w:cs="Times New Roman"/>
                <w:sz w:val="20"/>
                <w:szCs w:val="20"/>
              </w:rPr>
            </w:pPr>
            <w:r>
              <w:rPr>
                <w:rFonts w:eastAsia="Times New Roman" w:cs="Times New Roman" w:ascii="Times New Roman" w:hAnsi="Times New Roman"/>
                <w:sz w:val="20"/>
                <w:szCs w:val="20"/>
              </w:rPr>
              <w:t>i) H and ii) M</w:t>
            </w:r>
          </w:p>
        </w:tc>
        <w:tc>
          <w:tcPr>
            <w:tcW w:w="900" w:type="dxa"/>
            <w:tcBorders>
              <w:top w:val="single" w:sz="8" w:space="0" w:color="000000"/>
              <w:left w:val="single" w:sz="8" w:space="0" w:color="000000"/>
              <w:bottom w:val="single" w:sz="8" w:space="0" w:color="000000"/>
              <w:right w:val="single" w:sz="8" w:space="0" w:color="000000"/>
            </w:tcBorders>
            <w:shd w:color="auto" w:fill="EFEFEF" w:val="clear"/>
            <w:vAlign w:val="center"/>
          </w:tcPr>
          <w:p>
            <w:pPr>
              <w:pStyle w:val="Normal"/>
              <w:pBdr/>
              <w:spacing w:lineRule="auto" w:line="240" w:before="0" w:after="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WP1</w:t>
            </w:r>
          </w:p>
        </w:tc>
        <w:tc>
          <w:tcPr>
            <w:tcW w:w="6045" w:type="dxa"/>
            <w:tcBorders>
              <w:top w:val="single" w:sz="8" w:space="0" w:color="000000"/>
              <w:left w:val="single" w:sz="8" w:space="0" w:color="000000"/>
              <w:bottom w:val="single" w:sz="8" w:space="0" w:color="000000"/>
              <w:right w:val="single" w:sz="8" w:space="0" w:color="000000"/>
            </w:tcBorders>
            <w:shd w:color="auto" w:fill="EFEFEF" w:val="clear"/>
            <w:vAlign w:val="center"/>
          </w:tcPr>
          <w:p>
            <w:pPr>
              <w:pStyle w:val="Normal"/>
              <w:pBdr/>
              <w:spacing w:lineRule="auto" w:line="240" w:before="0" w:after="0"/>
              <w:jc w:val="both"/>
              <w:rPr>
                <w:rFonts w:ascii="Times New Roman" w:hAnsi="Times New Roman" w:eastAsia="Times New Roman" w:cs="Times New Roman"/>
                <w:sz w:val="20"/>
                <w:szCs w:val="20"/>
              </w:rPr>
            </w:pPr>
            <w:r>
              <w:rPr>
                <w:rFonts w:eastAsia="Times New Roman" w:cs="Times New Roman" w:ascii="Times New Roman" w:hAnsi="Times New Roman"/>
                <w:sz w:val="20"/>
                <w:szCs w:val="20"/>
              </w:rPr>
              <w:t>There are similarities between our approach to the solution of the electron Boltzmann equation and the phonon transport equation presented in [LUO25]. If we are unable to derive an equation that can be solved numerically within a reasonable computational time in complex geometries, we will adopt a strategy similar to that outlined in [RAY22].</w:t>
            </w:r>
          </w:p>
        </w:tc>
      </w:tr>
      <w:tr>
        <w:trPr>
          <w:trHeight w:val="2054" w:hRule="atLeast"/>
        </w:trPr>
        <w:tc>
          <w:tcPr>
            <w:tcW w:w="2100"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keepLines/>
              <w:spacing w:lineRule="auto" w:line="240" w:before="0" w:after="0"/>
              <w:rPr>
                <w:rFonts w:ascii="Times New Roman" w:hAnsi="Times New Roman" w:eastAsia="Times New Roman" w:cs="Times New Roman"/>
                <w:sz w:val="20"/>
                <w:szCs w:val="20"/>
              </w:rPr>
            </w:pPr>
            <w:r>
              <w:rPr>
                <w:rFonts w:eastAsia="Times New Roman" w:cs="Times New Roman" w:ascii="Times New Roman" w:hAnsi="Times New Roman"/>
                <w:sz w:val="20"/>
                <w:szCs w:val="20"/>
              </w:rPr>
              <w:t>Delay in the fabrication and/or integration of the 2D-based devices, e.g., due to outage of equipment,</w:t>
            </w:r>
          </w:p>
          <w:p>
            <w:pPr>
              <w:pStyle w:val="Normal"/>
              <w:keepLines/>
              <w:spacing w:lineRule="auto" w:line="240" w:before="0" w:after="0"/>
              <w:rPr>
                <w:rFonts w:ascii="Times New Roman" w:hAnsi="Times New Roman" w:eastAsia="Times New Roman" w:cs="Times New Roman"/>
                <w:sz w:val="20"/>
                <w:szCs w:val="20"/>
              </w:rPr>
            </w:pPr>
            <w:r>
              <w:rPr>
                <w:rFonts w:eastAsia="Times New Roman" w:cs="Times New Roman" w:ascii="Times New Roman" w:hAnsi="Times New Roman"/>
                <w:sz w:val="20"/>
                <w:szCs w:val="20"/>
              </w:rPr>
              <w:t>interruption, or upgrades of instruments and facilities: i) L; ii) H</w:t>
            </w:r>
          </w:p>
        </w:tc>
        <w:tc>
          <w:tcPr>
            <w:tcW w:w="900"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keepLines/>
              <w:spacing w:lineRule="auto" w:line="240" w:before="0" w:after="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 xml:space="preserve">WP1 </w:t>
            </w:r>
          </w:p>
          <w:p>
            <w:pPr>
              <w:pStyle w:val="Normal"/>
              <w:keepLines/>
              <w:spacing w:lineRule="auto" w:line="240" w:before="0" w:after="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 xml:space="preserve">&amp; </w:t>
            </w:r>
          </w:p>
          <w:p>
            <w:pPr>
              <w:pStyle w:val="Normal"/>
              <w:keepLines/>
              <w:spacing w:lineRule="auto" w:line="240" w:before="0" w:after="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WP2</w:t>
            </w:r>
          </w:p>
        </w:tc>
        <w:tc>
          <w:tcPr>
            <w:tcW w:w="6045"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keepLines/>
              <w:spacing w:lineRule="auto" w:line="240" w:before="0" w:after="0"/>
              <w:jc w:val="both"/>
              <w:rPr>
                <w:rFonts w:ascii="Times New Roman" w:hAnsi="Times New Roman" w:eastAsia="Times New Roman" w:cs="Times New Roman"/>
                <w:sz w:val="20"/>
                <w:szCs w:val="20"/>
              </w:rPr>
            </w:pPr>
            <w:r>
              <w:rPr>
                <w:rFonts w:eastAsia="Times New Roman" w:cs="Times New Roman" w:ascii="Times New Roman" w:hAnsi="Times New Roman"/>
                <w:sz w:val="20"/>
                <w:szCs w:val="20"/>
              </w:rPr>
              <w:t xml:space="preserve">In the event that our primary cleanroom facility is unavailable, we will carry out the necessary fabrication and processing steps using the facilities provided by our collaborators within the </w:t>
            </w:r>
            <w:r>
              <w:rPr>
                <w:rFonts w:eastAsia="Times New Roman" w:cs="Times New Roman" w:ascii="Times New Roman" w:hAnsi="Times New Roman"/>
                <w:i/>
                <w:iCs/>
                <w:sz w:val="20"/>
                <w:szCs w:val="20"/>
              </w:rPr>
              <w:t>Red de Excelencia Nanolito</w:t>
            </w:r>
            <w:r>
              <w:rPr>
                <w:rFonts w:eastAsia="Times New Roman" w:cs="Times New Roman" w:ascii="Times New Roman" w:hAnsi="Times New Roman"/>
                <w:sz w:val="20"/>
                <w:szCs w:val="20"/>
              </w:rPr>
              <w:t>, of which we are one of the officially recognized National nodes. This collaboration will ensure access to equivalent technical infrastructure, allowing us to avoid compromising the project's quality or schedule should our infrastructure not be available.</w:t>
            </w:r>
          </w:p>
        </w:tc>
      </w:tr>
      <w:tr>
        <w:trPr>
          <w:trHeight w:val="1499" w:hRule="atLeast"/>
        </w:trPr>
        <w:tc>
          <w:tcPr>
            <w:tcW w:w="2100" w:type="dxa"/>
            <w:tcBorders>
              <w:top w:val="single" w:sz="8" w:space="0" w:color="000000"/>
              <w:left w:val="single" w:sz="8" w:space="0" w:color="000000"/>
              <w:bottom w:val="single" w:sz="8" w:space="0" w:color="000000"/>
              <w:right w:val="single" w:sz="8" w:space="0" w:color="000000"/>
            </w:tcBorders>
            <w:shd w:color="auto" w:fill="EFEFEF" w:val="clear"/>
            <w:vAlign w:val="center"/>
          </w:tcPr>
          <w:p>
            <w:pPr>
              <w:pStyle w:val="Normal"/>
              <w:keepLines/>
              <w:spacing w:lineRule="auto" w:line="240" w:before="0" w:after="0"/>
              <w:rPr>
                <w:rFonts w:ascii="Times New Roman" w:hAnsi="Times New Roman" w:eastAsia="Times New Roman" w:cs="Times New Roman"/>
                <w:sz w:val="20"/>
                <w:szCs w:val="20"/>
              </w:rPr>
            </w:pPr>
            <w:r>
              <w:rPr>
                <w:rFonts w:eastAsia="Times New Roman" w:cs="Times New Roman" w:ascii="Times New Roman" w:hAnsi="Times New Roman"/>
                <w:sz w:val="20"/>
                <w:szCs w:val="20"/>
              </w:rPr>
              <w:t>Insufficient resolution in the moiré patterning via electron beam lithography i) M ; ii) H</w:t>
            </w:r>
          </w:p>
        </w:tc>
        <w:tc>
          <w:tcPr>
            <w:tcW w:w="900" w:type="dxa"/>
            <w:tcBorders>
              <w:top w:val="single" w:sz="8" w:space="0" w:color="000000"/>
              <w:left w:val="single" w:sz="8" w:space="0" w:color="000000"/>
              <w:bottom w:val="single" w:sz="8" w:space="0" w:color="000000"/>
              <w:right w:val="single" w:sz="8" w:space="0" w:color="000000"/>
            </w:tcBorders>
            <w:shd w:color="auto" w:fill="EFEFEF" w:val="clear"/>
            <w:vAlign w:val="center"/>
          </w:tcPr>
          <w:p>
            <w:pPr>
              <w:pStyle w:val="Normal"/>
              <w:keepLines/>
              <w:spacing w:lineRule="auto" w:line="240" w:before="0" w:after="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WP2</w:t>
            </w:r>
          </w:p>
        </w:tc>
        <w:tc>
          <w:tcPr>
            <w:tcW w:w="6045" w:type="dxa"/>
            <w:tcBorders>
              <w:top w:val="single" w:sz="8" w:space="0" w:color="000000"/>
              <w:left w:val="single" w:sz="8" w:space="0" w:color="000000"/>
              <w:bottom w:val="single" w:sz="8" w:space="0" w:color="000000"/>
              <w:right w:val="single" w:sz="8" w:space="0" w:color="000000"/>
            </w:tcBorders>
            <w:shd w:color="auto" w:fill="EFEFEF" w:val="clear"/>
            <w:vAlign w:val="center"/>
          </w:tcPr>
          <w:p>
            <w:pPr>
              <w:pStyle w:val="Normal"/>
              <w:keepLines/>
              <w:spacing w:lineRule="auto" w:line="240" w:before="240" w:after="240"/>
              <w:jc w:val="both"/>
              <w:rPr>
                <w:rFonts w:ascii="Times New Roman" w:hAnsi="Times New Roman" w:eastAsia="Times New Roman" w:cs="Times New Roman"/>
                <w:i/>
                <w:i/>
                <w:iCs/>
                <w:sz w:val="20"/>
                <w:szCs w:val="20"/>
              </w:rPr>
            </w:pPr>
            <w:r>
              <w:rPr>
                <w:rFonts w:eastAsia="Times New Roman" w:cs="Times New Roman" w:ascii="Times New Roman" w:hAnsi="Times New Roman"/>
                <w:sz w:val="20"/>
                <w:szCs w:val="20"/>
              </w:rPr>
              <w:t>If necessary, dual beam and Helium Ion Beam lithography, available through our collaborators at CSIC–Unizar (SP2 collaborators and members of the Red de Excelencia NANOLITO), will be employed to achieve higher-resolution patterning with antidot diameters below to 50 nm and with different densities, taking advantage of access via the ELECMI–ICTS infrastructure.</w:t>
            </w:r>
          </w:p>
        </w:tc>
      </w:tr>
      <w:tr>
        <w:trPr>
          <w:trHeight w:val="1834" w:hRule="atLeast"/>
        </w:trPr>
        <w:tc>
          <w:tcPr>
            <w:tcW w:w="2100"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keepLines/>
              <w:spacing w:lineRule="auto" w:line="240" w:before="0" w:after="0"/>
              <w:rPr>
                <w:rFonts w:ascii="Times New Roman" w:hAnsi="Times New Roman" w:eastAsia="Times New Roman" w:cs="Times New Roman"/>
                <w:sz w:val="20"/>
                <w:szCs w:val="20"/>
              </w:rPr>
            </w:pPr>
            <w:r>
              <w:rPr>
                <w:rFonts w:eastAsia="Times New Roman" w:cs="Times New Roman" w:ascii="Times New Roman" w:hAnsi="Times New Roman"/>
                <w:sz w:val="20"/>
                <w:szCs w:val="20"/>
              </w:rPr>
              <w:t>Processing problems with TOPAS polymers or with thermal strain transfer to the heterostructures i) L; ii) H</w:t>
            </w:r>
          </w:p>
        </w:tc>
        <w:tc>
          <w:tcPr>
            <w:tcW w:w="900"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keepLines/>
              <w:spacing w:lineRule="auto" w:line="240" w:before="0" w:after="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WP2</w:t>
            </w:r>
          </w:p>
        </w:tc>
        <w:tc>
          <w:tcPr>
            <w:tcW w:w="6045"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keepLines/>
              <w:spacing w:lineRule="auto" w:line="240" w:before="240" w:after="240"/>
              <w:jc w:val="both"/>
              <w:rPr>
                <w:rFonts w:ascii="Times New Roman" w:hAnsi="Times New Roman" w:eastAsia="Times New Roman" w:cs="Times New Roman"/>
                <w:sz w:val="20"/>
                <w:szCs w:val="20"/>
              </w:rPr>
            </w:pPr>
            <w:r>
              <w:rPr>
                <w:rFonts w:eastAsia="Times New Roman" w:cs="Times New Roman" w:ascii="Times New Roman" w:hAnsi="Times New Roman"/>
                <w:sz w:val="20"/>
                <w:szCs w:val="20"/>
              </w:rPr>
              <w:t>Our preliminary test with TOPAS polymers has shown to be very positive in terms of lithography resolution. Nevertheless we have not used it yet for thermal strain studies. Our expectations are based on Young’s modulus and the rest of merit figures for this polymer provided by the supply company. If problems appear during the project we have developed a method with chromium masks to use PC structure instead of TOPAS.</w:t>
            </w:r>
          </w:p>
        </w:tc>
      </w:tr>
      <w:tr>
        <w:trPr>
          <w:trHeight w:val="1440" w:hRule="atLeast"/>
        </w:trPr>
        <w:tc>
          <w:tcPr>
            <w:tcW w:w="2100" w:type="dxa"/>
            <w:tcBorders>
              <w:top w:val="single" w:sz="8" w:space="0" w:color="000000"/>
              <w:left w:val="single" w:sz="8" w:space="0" w:color="000000"/>
              <w:bottom w:val="single" w:sz="8" w:space="0" w:color="000000"/>
              <w:right w:val="single" w:sz="8" w:space="0" w:color="000000"/>
            </w:tcBorders>
            <w:shd w:color="auto" w:fill="EFEFEF" w:val="clear"/>
            <w:vAlign w:val="center"/>
          </w:tcPr>
          <w:p>
            <w:pPr>
              <w:pStyle w:val="Normal"/>
              <w:keepLines/>
              <w:spacing w:lineRule="auto" w:line="240" w:before="0" w:after="0"/>
              <w:rPr>
                <w:rFonts w:ascii="Times New Roman" w:hAnsi="Times New Roman" w:eastAsia="Times New Roman" w:cs="Times New Roman"/>
                <w:sz w:val="20"/>
                <w:szCs w:val="20"/>
              </w:rPr>
            </w:pPr>
            <w:r>
              <w:rPr>
                <w:rFonts w:eastAsia="Times New Roman" w:cs="Times New Roman" w:ascii="Times New Roman" w:hAnsi="Times New Roman"/>
                <w:sz w:val="20"/>
                <w:szCs w:val="20"/>
              </w:rPr>
              <w:t>Difficulties with the implementation of the Double Sweep method i) L; ii) L</w:t>
            </w:r>
          </w:p>
        </w:tc>
        <w:tc>
          <w:tcPr>
            <w:tcW w:w="900" w:type="dxa"/>
            <w:tcBorders>
              <w:top w:val="single" w:sz="8" w:space="0" w:color="000000"/>
              <w:left w:val="single" w:sz="8" w:space="0" w:color="000000"/>
              <w:bottom w:val="single" w:sz="8" w:space="0" w:color="000000"/>
              <w:right w:val="single" w:sz="8" w:space="0" w:color="000000"/>
            </w:tcBorders>
            <w:shd w:color="auto" w:fill="EFEFEF" w:val="clear"/>
            <w:vAlign w:val="center"/>
          </w:tcPr>
          <w:p>
            <w:pPr>
              <w:pStyle w:val="Normal"/>
              <w:keepLines/>
              <w:spacing w:lineRule="auto" w:line="240" w:before="0" w:after="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 xml:space="preserve">WP3 </w:t>
            </w:r>
          </w:p>
        </w:tc>
        <w:tc>
          <w:tcPr>
            <w:tcW w:w="6045" w:type="dxa"/>
            <w:tcBorders>
              <w:top w:val="single" w:sz="8" w:space="0" w:color="000000"/>
              <w:left w:val="single" w:sz="8" w:space="0" w:color="000000"/>
              <w:bottom w:val="single" w:sz="8" w:space="0" w:color="000000"/>
              <w:right w:val="single" w:sz="8" w:space="0" w:color="000000"/>
            </w:tcBorders>
            <w:shd w:color="auto" w:fill="EFEFEF" w:val="clear"/>
            <w:vAlign w:val="center"/>
          </w:tcPr>
          <w:p>
            <w:pPr>
              <w:pStyle w:val="Normal"/>
              <w:keepLines/>
              <w:spacing w:lineRule="auto" w:line="240" w:before="0" w:after="0"/>
              <w:jc w:val="both"/>
              <w:rPr>
                <w:rFonts w:ascii="Times New Roman" w:hAnsi="Times New Roman" w:eastAsia="Times New Roman" w:cs="Times New Roman"/>
                <w:sz w:val="20"/>
                <w:szCs w:val="20"/>
              </w:rPr>
            </w:pPr>
            <w:r>
              <w:rPr>
                <w:rFonts w:eastAsia="Times New Roman" w:cs="Times New Roman" w:ascii="Times New Roman" w:hAnsi="Times New Roman"/>
                <w:sz w:val="20"/>
                <w:szCs w:val="20"/>
              </w:rPr>
              <w:t xml:space="preserve">If the implementation of the Double Sweep Method is not successful, we could apply in a supercomputing facility such as Mare Nostrum to compute transport properties with our former codes. </w:t>
            </w:r>
          </w:p>
        </w:tc>
      </w:tr>
      <w:tr>
        <w:trPr>
          <w:trHeight w:val="1335" w:hRule="atLeast"/>
        </w:trPr>
        <w:tc>
          <w:tcPr>
            <w:tcW w:w="2100"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keepLines/>
              <w:spacing w:lineRule="auto" w:line="240" w:before="0" w:after="0"/>
              <w:rPr>
                <w:rFonts w:ascii="Times New Roman" w:hAnsi="Times New Roman" w:eastAsia="Times New Roman" w:cs="Times New Roman"/>
                <w:sz w:val="20"/>
                <w:szCs w:val="20"/>
              </w:rPr>
            </w:pPr>
            <w:r>
              <w:rPr>
                <w:rFonts w:eastAsia="Times New Roman" w:cs="Times New Roman" w:ascii="Times New Roman" w:hAnsi="Times New Roman"/>
                <w:sz w:val="20"/>
                <w:szCs w:val="20"/>
              </w:rPr>
              <w:t>Problems with the stability of novel type-5 pentamaterials i) L; ii) M</w:t>
            </w:r>
          </w:p>
        </w:tc>
        <w:tc>
          <w:tcPr>
            <w:tcW w:w="900"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keepLines/>
              <w:spacing w:lineRule="auto" w:line="240" w:before="0" w:after="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WP3</w:t>
            </w:r>
          </w:p>
        </w:tc>
        <w:tc>
          <w:tcPr>
            <w:tcW w:w="6045"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keepLines/>
              <w:spacing w:lineRule="auto" w:line="240" w:before="240" w:after="240"/>
              <w:jc w:val="both"/>
              <w:rPr>
                <w:rFonts w:ascii="Times New Roman" w:hAnsi="Times New Roman" w:eastAsia="Times New Roman" w:cs="Times New Roman"/>
                <w:sz w:val="20"/>
                <w:szCs w:val="20"/>
              </w:rPr>
            </w:pPr>
            <w:r>
              <w:rPr>
                <w:rFonts w:eastAsia="Times New Roman" w:cs="Times New Roman" w:ascii="Times New Roman" w:hAnsi="Times New Roman"/>
                <w:sz w:val="20"/>
                <w:szCs w:val="20"/>
              </w:rPr>
              <w:t xml:space="preserve">If the phonon calculations of the novel pentamaterials we plan to address indicate that structures are not stable, we will pursue a more conservative approach, modeling nanostructures of the recently proposed pentamaterials and the possible tuning of their properties via doping or external fields.  </w:t>
            </w:r>
          </w:p>
        </w:tc>
      </w:tr>
      <w:tr>
        <w:trPr>
          <w:trHeight w:val="1394" w:hRule="atLeast"/>
        </w:trPr>
        <w:tc>
          <w:tcPr>
            <w:tcW w:w="2100" w:type="dxa"/>
            <w:tcBorders>
              <w:top w:val="single" w:sz="8" w:space="0" w:color="000000"/>
              <w:left w:val="single" w:sz="8" w:space="0" w:color="000000"/>
              <w:bottom w:val="single" w:sz="8" w:space="0" w:color="000000"/>
              <w:right w:val="single" w:sz="8" w:space="0" w:color="000000"/>
            </w:tcBorders>
            <w:shd w:color="auto" w:fill="D9D9D9" w:val="clear"/>
            <w:vAlign w:val="center"/>
          </w:tcPr>
          <w:p>
            <w:pPr>
              <w:pStyle w:val="Normal"/>
              <w:keepLines/>
              <w:spacing w:lineRule="auto" w:line="240" w:before="0" w:after="0"/>
              <w:rPr>
                <w:rFonts w:ascii="Times New Roman" w:hAnsi="Times New Roman" w:eastAsia="Times New Roman" w:cs="Times New Roman"/>
                <w:sz w:val="20"/>
                <w:szCs w:val="20"/>
              </w:rPr>
            </w:pPr>
            <w:r>
              <w:rPr>
                <w:rFonts w:eastAsia="Times New Roman" w:cs="Times New Roman" w:ascii="Times New Roman" w:hAnsi="Times New Roman"/>
                <w:sz w:val="20"/>
                <w:szCs w:val="20"/>
              </w:rPr>
              <w:t>Difficulties with the modeling of the experimental systems i) M; ii) M</w:t>
            </w:r>
          </w:p>
        </w:tc>
        <w:tc>
          <w:tcPr>
            <w:tcW w:w="900" w:type="dxa"/>
            <w:tcBorders>
              <w:top w:val="single" w:sz="8" w:space="0" w:color="000000"/>
              <w:left w:val="single" w:sz="8" w:space="0" w:color="000000"/>
              <w:bottom w:val="single" w:sz="8" w:space="0" w:color="000000"/>
              <w:right w:val="single" w:sz="8" w:space="0" w:color="000000"/>
            </w:tcBorders>
            <w:shd w:color="auto" w:fill="D9D9D9" w:val="clear"/>
            <w:vAlign w:val="center"/>
          </w:tcPr>
          <w:p>
            <w:pPr>
              <w:pStyle w:val="Normal"/>
              <w:keepLines/>
              <w:spacing w:lineRule="auto" w:line="240" w:before="0" w:after="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WP3</w:t>
            </w:r>
          </w:p>
        </w:tc>
        <w:tc>
          <w:tcPr>
            <w:tcW w:w="6045" w:type="dxa"/>
            <w:tcBorders>
              <w:top w:val="single" w:sz="8" w:space="0" w:color="000000"/>
              <w:left w:val="single" w:sz="8" w:space="0" w:color="000000"/>
              <w:bottom w:val="single" w:sz="8" w:space="0" w:color="000000"/>
              <w:right w:val="single" w:sz="8" w:space="0" w:color="000000"/>
            </w:tcBorders>
            <w:shd w:color="auto" w:fill="D9D9D9" w:val="clear"/>
            <w:vAlign w:val="center"/>
          </w:tcPr>
          <w:p>
            <w:pPr>
              <w:pStyle w:val="Normal"/>
              <w:keepLines/>
              <w:spacing w:lineRule="auto" w:line="240" w:before="240" w:after="240"/>
              <w:jc w:val="both"/>
              <w:rPr>
                <w:rFonts w:ascii="Times New Roman" w:hAnsi="Times New Roman" w:eastAsia="Times New Roman" w:cs="Times New Roman"/>
                <w:sz w:val="20"/>
                <w:szCs w:val="20"/>
              </w:rPr>
            </w:pPr>
            <w:r>
              <w:rPr>
                <w:rFonts w:eastAsia="Times New Roman" w:cs="Times New Roman" w:ascii="Times New Roman" w:hAnsi="Times New Roman"/>
                <w:sz w:val="20"/>
                <w:szCs w:val="20"/>
              </w:rPr>
              <w:t xml:space="preserve">Either because of the size of the systems prepared in the experiments or the inability to characterize their microscopic detailed structure, we may encounter problems relating the simulations with the experimental results. In that case we will proceed to do a systematic analysis of the properties of TBG and aim at the derivation of simpler models, of wide interest. </w:t>
            </w:r>
          </w:p>
        </w:tc>
      </w:tr>
    </w:tbl>
    <w:p>
      <w:pPr>
        <w:pStyle w:val="Normal"/>
        <w:spacing w:lineRule="auto" w:line="240" w:before="0" w:after="0"/>
        <w:jc w:val="both"/>
        <w:rPr>
          <w:rFonts w:ascii="Arial" w:hAnsi="Arial" w:eastAsia="Arial" w:cs="Arial"/>
          <w:b/>
          <w:bCs/>
          <w:sz w:val="18"/>
          <w:szCs w:val="18"/>
        </w:rPr>
      </w:pPr>
      <w:r>
        <w:rPr>
          <w:rFonts w:eastAsia="Arial" w:cs="Arial" w:ascii="Arial" w:hAnsi="Arial"/>
          <w:b/>
          <w:bCs/>
          <w:sz w:val="18"/>
          <w:szCs w:val="18"/>
        </w:rPr>
      </w:r>
    </w:p>
    <w:p>
      <w:pPr>
        <w:pStyle w:val="Normal"/>
        <w:spacing w:lineRule="auto" w:line="240" w:before="0" w:after="0"/>
        <w:jc w:val="both"/>
        <w:rPr>
          <w:rFonts w:ascii="Times New Roman" w:hAnsi="Times New Roman" w:eastAsia="Times New Roman" w:cs="Times New Roman"/>
          <w:sz w:val="26"/>
          <w:szCs w:val="26"/>
        </w:rPr>
      </w:pPr>
      <w:r>
        <w:rPr>
          <w:rFonts w:eastAsia="Times New Roman" w:cs="Times New Roman" w:ascii="Times New Roman" w:hAnsi="Times New Roman"/>
          <w:b/>
          <w:bCs/>
        </w:rPr>
        <w:t>Table 2</w:t>
      </w:r>
      <w:r>
        <w:rPr>
          <w:rFonts w:eastAsia="Times New Roman" w:cs="Times New Roman" w:ascii="Times New Roman" w:hAnsi="Times New Roman"/>
        </w:rPr>
        <w:t>: Possible risks in the level i) likelihood and  ii) severity: Low (L), Medium (M), High (H), mitigation measures and contingency plan.</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numPr>
          <w:ilvl w:val="1"/>
          <w:numId w:val="1"/>
        </w:numPr>
        <w:pBdr/>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rPr>
        <w:t>Previous results of the team in the theme of the proposal.</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To improve the presentation of previous results in the proposed topics, we will discuss them for each WP.</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WP1.</w:t>
      </w:r>
      <w:r>
        <w:rPr>
          <w:rFonts w:eastAsia="Times New Roman" w:cs="Times New Roman" w:ascii="Times New Roman" w:hAnsi="Times New Roman"/>
        </w:rPr>
        <w:t xml:space="preserve"> </w:t>
      </w:r>
      <w:r>
        <w:rPr>
          <w:rFonts w:eastAsia="Times New Roman" w:cs="Times New Roman" w:ascii="Times New Roman" w:hAnsi="Times New Roman"/>
          <w:b/>
          <w:bCs/>
        </w:rPr>
        <w:t>Electron and phonon hydrodynamics in 2D materials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Our comprehensive study of electron hydrodynamics was launched within the framework of the coordinated project PID2022-136285NB-C3. Members of the SP1 conducted an in-depth review of the theoretical framework commonly used and have succeeded in proposing significant improvements. Demonstrating these experimentally required utilizing all the resources of SP2 laboratories. Thanks to this, we have achieved substantial progress, which has been published in high-impact journals [EST24a-c,EST25a-e]. Furthermore, these studies are part of the doctoral theses of J. Salvador (USAL) and J. Estrada (UCM) (see section 7.2 for further details), as well as several master’s theses. Therefore, we are confident in our adequate expertise to tackle the new challenges presented in WP1.</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b/>
          <w:bCs/>
        </w:rPr>
      </w:pPr>
      <w:r>
        <w:rPr>
          <w:rFonts w:eastAsia="Times New Roman" w:cs="Times New Roman" w:ascii="Times New Roman" w:hAnsi="Times New Roman"/>
          <w:b/>
          <w:bCs/>
        </w:rPr>
        <w:t>WP2. Engineered superconductivity and super moiré in low-dimensional materials</w:t>
      </w:r>
    </w:p>
    <w:p>
      <w:pPr>
        <w:pStyle w:val="Normal"/>
        <w:spacing w:lineRule="auto" w:line="240" w:before="0" w:after="0"/>
        <w:jc w:val="both"/>
        <w:rPr>
          <w:rFonts w:ascii="Times New Roman" w:hAnsi="Times New Roman" w:eastAsia="Times New Roman" w:cs="Times New Roman"/>
          <w:b/>
          <w:bCs/>
        </w:rPr>
      </w:pPr>
      <w:r>
        <w:rPr>
          <w:rFonts w:eastAsia="Times New Roman" w:cs="Times New Roman" w:ascii="Times New Roman" w:hAnsi="Times New Roman"/>
          <w:b/>
          <w:bCs/>
        </w:rPr>
      </w:r>
    </w:p>
    <w:p>
      <w:pPr>
        <w:pStyle w:val="Normal"/>
        <w:spacing w:lineRule="auto" w:line="240" w:before="0" w:after="0"/>
        <w:jc w:val="both"/>
        <w:rPr>
          <w:rFonts w:ascii="Times New Roman" w:hAnsi="Times New Roman" w:eastAsia="Times New Roman" w:cs="Times New Roman"/>
          <w:b/>
          <w:bCs/>
        </w:rPr>
      </w:pPr>
      <w:r>
        <w:rPr>
          <w:rFonts w:eastAsia="Times New Roman" w:cs="Times New Roman" w:ascii="Times New Roman" w:hAnsi="Times New Roman"/>
        </w:rPr>
        <w:t>Our previous coordinated project has enabled the successful fabrication of ultra–high-quality antidot superlattices in graphene heterostructures [EST25b], establishing a robust experimental platform for exploring engineered electronic phases. In parallel, we have developed strong expertise in superconducting phenomena [BAB25c], study of the effect of strain in layered materials [HEN25] and theoretical studies of exotic low-dimensional systems, including semiDirac materials and related unconventional states [GAR24,GAR25,BAB25a]. These advances, supported by publications and ongoing doctoral work within the team (P. Moles, M. García Olmos and P. Canteli), demonstrate our capability to integrate precise nanofabrication, superconducting transport, and advanced modeling. Therefore, we are confident that we possess the necessary expertise and infrastructure to successfully address the challenges of this WP.</w:t>
      </w:r>
    </w:p>
    <w:p>
      <w:pPr>
        <w:pStyle w:val="Normal"/>
        <w:spacing w:lineRule="auto" w:line="240" w:before="0" w:after="0"/>
        <w:jc w:val="both"/>
        <w:rPr>
          <w:rFonts w:ascii="Times New Roman" w:hAnsi="Times New Roman" w:eastAsia="Times New Roman" w:cs="Times New Roman"/>
          <w:b/>
          <w:bCs/>
        </w:rPr>
      </w:pPr>
      <w:r>
        <w:rPr>
          <w:rFonts w:eastAsia="Times New Roman" w:cs="Times New Roman" w:ascii="Times New Roman" w:hAnsi="Times New Roman"/>
          <w:b/>
          <w:bCs/>
        </w:rPr>
      </w:r>
    </w:p>
    <w:p>
      <w:pPr>
        <w:pStyle w:val="Normal"/>
        <w:spacing w:lineRule="auto" w:line="288" w:before="0" w:after="0"/>
        <w:jc w:val="both"/>
        <w:rPr>
          <w:rFonts w:ascii="Times New Roman" w:hAnsi="Times New Roman" w:eastAsia="Times New Roman" w:cs="Times New Roman"/>
          <w:b/>
          <w:bCs/>
        </w:rPr>
      </w:pPr>
      <w:r>
        <w:rPr>
          <w:rFonts w:eastAsia="Times New Roman" w:cs="Times New Roman" w:ascii="Times New Roman" w:hAnsi="Times New Roman"/>
          <w:b/>
          <w:bCs/>
        </w:rPr>
        <w:t>WP3. Time-driven and symmetry engineering of low-dimensional systems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Most of the senior members and the early-stage researchers of the consortium have an extensive experience in the modeling of moiré systems [ARR20,ARR23,PER24,MOL24], topological pentamaterials [BRA21,NUÑ24], quantum transport at the nanoscale [CHI17,SAN20], strain-tuned materials [MOL25] and topological materials subjected to time-dependent external fields [BAB25a, GOM25a], as evidenced by their curricula and recent publications in high-impact journals. We also have a long-standing track record in the study of electronic states in disordered systems. The study of disordered topological matter subject to time-dependent fields that we propose falls well within the researchers’ capabilities. Furthermore, these studies are part of the doctoral thesis of P. Moles, D. Martínez and L. Lage.</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numPr>
          <w:ilvl w:val="1"/>
          <w:numId w:val="1"/>
        </w:numPr>
        <w:pBdr/>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rPr>
        <w:t>Human, material and equipment resources available for the execution of the Project.</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A central pillar of this proposal is the strong integration and mutual reinforcement between the two subprojects, each contributing complementary expertise toward shared strategic goals. This interdisciplinary collaboration is not incidental but intentional. The collaboration between UCM and USAL teams is well established, with over a decade of productive joint research. In particular, the partnership has been reinforced over the past twelve years through four coordinated research projects (MAT2013-46308-C2, MAT2016-75955-C2, PID2019-106820RB-C2, and PID2022-136285NB-C3). These initiatives have fostered regular cross-institutional visits and in-person seminars, facilitating the exchange of results and the refinement of ideas. An unequivocal proof of the success of this collaboration is the high number of jointly published articles, involving researchers from both universities. For instance, in the outgoing project PID2022-136285NB-C3 we already jointly published 9 papers (6 of them were already detailed in the 18 month progress report submitted recently).</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While current communication technologies (email, videoconferencing) allow us to collaborate efficiently across distances, we will further strengthen coordination by organizing an in-person Programme Coordination Workshops annually. These meetings will provide a platform for presenting ongoing results, aligning objectives, and fostering interdisciplinary discussion across both subprojects.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We underline the main setups and equipment from the Nanotech group below, and a complete overview of the facilities can be found at </w:t>
      </w:r>
      <w:hyperlink r:id="rId12">
        <w:r>
          <w:rPr>
            <w:rStyle w:val="Style3"/>
            <w:rFonts w:eastAsia="Times New Roman" w:cs="Times New Roman" w:ascii="Times New Roman" w:hAnsi="Times New Roman"/>
            <w:color w:val="1155CC"/>
            <w:u w:val="single"/>
          </w:rPr>
          <w:t>https://nanotech.usal.es/facilities/</w:t>
        </w:r>
      </w:hyperlink>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numPr>
          <w:ilvl w:val="0"/>
          <w:numId w:val="2"/>
        </w:numP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Nanotechnology Clean-Room: Nanolithography by Electron Beam Lithography (Sigma FE-SEM + Elphy+ Raith). ICP/RIE Plasma Cobra (Oxford Instruments) with seven different chemicals, including Cryo etching. Three home-made systems for 2D heterostructure fabrication. Rapid Thermal processing and deep-UV Mask Aligner. Micro-Raman Horiba LabRam HR Evolution. 2xEB-Physical vapor deposition (1 home-made installed and one more in Call of Tenders funded by Next Generation funding expected by Fall 2023. 2 x bespoke transfer set-up with a Z-stage and a heating Cu-plate for the fabrication of heterostructures based on the stacking of 2-dimensional materials.</w:t>
      </w:r>
    </w:p>
    <w:p>
      <w:pPr>
        <w:pStyle w:val="Normal"/>
        <w:numPr>
          <w:ilvl w:val="0"/>
          <w:numId w:val="2"/>
        </w:numP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Optical Laboratory: THz system with Quantum Cascade lasers from 1-3 THz. 2 x Low-Temperature optical system for optoelectronics characterization from visible to THz. Brucker FT-IR Vertex 70V spectrometer for NIR, MIR, and THz (LHe4 bolometer). Polarization and angle-resolved photocurrent spectroscopy home-made setup with a SuperK Compact supercontinuum laser (NKT Photonics).</w:t>
      </w:r>
    </w:p>
    <w:p>
      <w:pPr>
        <w:pStyle w:val="Normal"/>
        <w:numPr>
          <w:ilvl w:val="0"/>
          <w:numId w:val="2"/>
        </w:numP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Low Temperature Laboratory: Teslatron-PT (Oxford Instruments) 12 Tesla -top loading with three inserts: VTI with rotator 260º from 1.5 K to room temperature and 300 mK with pre-installation for a piezo-rotator. Dilution fridge Triton, operating up to 7 mK with a 12 Tesla field. </w:t>
      </w:r>
    </w:p>
    <w:p>
      <w:pPr>
        <w:pStyle w:val="Normal"/>
        <w:numPr>
          <w:ilvl w:val="0"/>
          <w:numId w:val="2"/>
        </w:numP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SuperRRaman at McGill presented with detail in Activity 1.4. </w:t>
      </w:r>
    </w:p>
    <w:p>
      <w:pPr>
        <w:pStyle w:val="Normal"/>
        <w:spacing w:lineRule="auto" w:line="240" w:before="0" w:after="0"/>
        <w:jc w:val="both"/>
        <w:rPr>
          <w:rFonts w:ascii="Arial" w:hAnsi="Arial" w:eastAsia="Arial" w:cs="Arial"/>
        </w:rPr>
      </w:pPr>
      <w:r>
        <w:rPr>
          <w:rFonts w:eastAsia="Arial" w:cs="Arial" w:ascii="Arial" w:hAnsi="Arial"/>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Regarding computing needs of the theoretical work, the numerical solution of the Boltzmann and Navier-Stokes equations is a computationally demanding task, particularly when simulations are close to the diffusive regime. For this reason, and to mitigate the current limitations of the UCM team resources, we have included in the budget the expenses related to the acquisition of a high-performance mainframe (see the budget of SP1 for details).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Heading1"/>
        <w:numPr>
          <w:ilvl w:val="0"/>
          <w:numId w:val="1"/>
        </w:numPr>
        <w:spacing w:lineRule="auto" w:line="240" w:before="0" w:after="0"/>
        <w:ind w:hanging="426" w:left="426"/>
        <w:jc w:val="both"/>
        <w:rPr>
          <w:rFonts w:ascii="Times New Roman" w:hAnsi="Times New Roman" w:eastAsia="Times New Roman" w:cs="Times New Roman"/>
          <w:b/>
          <w:bCs/>
          <w:color w:val="000000"/>
          <w:sz w:val="22"/>
          <w:szCs w:val="22"/>
        </w:rPr>
      </w:pPr>
      <w:r>
        <w:rPr>
          <w:rFonts w:eastAsia="Times New Roman" w:cs="Times New Roman" w:ascii="Times New Roman" w:hAnsi="Times New Roman"/>
          <w:b/>
          <w:bCs/>
          <w:color w:val="000000"/>
          <w:sz w:val="22"/>
          <w:szCs w:val="22"/>
        </w:rPr>
        <w:t xml:space="preserve">IMPACT OF THE RESULTS.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numPr>
          <w:ilvl w:val="1"/>
          <w:numId w:val="1"/>
        </w:numPr>
        <w:pBdr/>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rPr>
        <w:t>Expected impact on the generation of scientific-technical knowledge in the thematic area of the proposal.</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The </w:t>
      </w:r>
      <w:r>
        <w:rPr>
          <w:rFonts w:eastAsia="Times New Roman" w:cs="Times New Roman" w:ascii="Times New Roman" w:hAnsi="Times New Roman"/>
          <w:b/>
          <w:bCs/>
        </w:rPr>
        <w:t>AQUASYM</w:t>
      </w:r>
      <w:r>
        <w:rPr>
          <w:rFonts w:eastAsia="Times New Roman" w:cs="Times New Roman" w:ascii="Times New Roman" w:hAnsi="Times New Roman"/>
        </w:rPr>
        <w:t xml:space="preserve"> project is expected to significantly advance our understanding of quantum transport phenomena in low-dimensional materials. By focusing on electron and phonon hydrodynamics in two-dimensional systems, the research will contribute to clarifying how collective excitations behave under conditions where classical approximations fail and quantum mechanical effects dominate. This is particularly important for emerging materials where electron-electron and phonon-phonon interactions lead to fluid-like transport regimes, challenging established theoretical frameworks. In addition, the investigation of superconductivity and super-moiré effects in low-dimensional materials will deepen current knowledge on how symmetry breaking, correlation effects, and lattice engineering can induce or enhance superconducting phases. The project will provide new insights into the mechanisms that stabilize unconventional superconductivity and how moiré superlattices can be tuned to manipulate electronic band structures at will. Furthermore, the study of low-dimensional systems subjected to time-dependent electric fields is expected to shed light on dynamic quantum states that are not accessible under equilibrium conditions, including Floquet-engineered phases and nonequilibrium superconductivity. This will open new theoretical possibilities for controlling material properties in real time and may inspire innovative device concepts. Overall, the project will contribute to developing a unified framework connecting hydrodynamic transport, broken-symmetry phases, and driven quantum systems. Such a unified perspective is essential for identifying universal principles governing quantum flow in complex materials, and it may stimulate new research directions across condensed matter physics, nanotechnology, and quantum materials engineering.</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numPr>
          <w:ilvl w:val="1"/>
          <w:numId w:val="1"/>
        </w:numPr>
        <w:pBdr/>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rPr>
        <w:t>Social and economic impact of the expected results.</w:t>
      </w:r>
      <w:r>
        <w:rPr>
          <w:rFonts w:eastAsia="Times New Roman" w:cs="Times New Roman" w:ascii="Times New Roman" w:hAnsi="Times New Roman"/>
          <w:color w:val="000000"/>
        </w:rPr>
        <w:t xml:space="preserve">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Scientific results related to non-oriented research constitute a step forward on our knowledge of nature and our environment. Additionally, our proposal fits into the Strategic National Research Lines defined in the Spanish Strategy of Science, Technology, and Innovation 2021-2027, specifically in Line 4, Digital World, Industry, Space and Defense, that mentions explicitly “Photonics and electronics” as well as “New materials and fabrication techniques.” We expect our results to add up and strengthen the Spanish contribution to objective 9 of the United Nations 2030, Industry Innovation and Infrastructure. Our long-term cooperation with some of the leadership companies in 2D materials such as Graphenea and standardization and metrology consortiums for 2D materials at European level increases our options of transferring the basic knowledge developed in this project to society. We have experience in contracts for technology transfer and development with several industrial companies. In particular, we are developing a phase of another project (USAL4Excellence) in collaboration with Iberdrola, linking fundamental research with real-world deployment in the energy sector. Therefore, we expect to provide a relevant contribution not only to the basic knowledge in quantum materials but also to transfer them to the industry. It will provide our society with breakthrough quantum technologies based on 2D materials that will pave the way for a green and sustainable economy.</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numPr>
          <w:ilvl w:val="1"/>
          <w:numId w:val="1"/>
        </w:numPr>
        <w:pBdr/>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rPr>
        <w:t>Plan for scientific communication and internationalization of the results (indicate the forecast of open access publications.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The results of this project will be disseminated to the scientific community as well as to the public. In particular, we will be targeting peer-reviewed journals of high impact not only in the fields of condensed-matter and materials physics but more broadly in Nature, Science, and Physical Review publishers. We also recognize the importance of Open Access. Whenever possible “Green Access” will be chosen but funds for “Gold Access” will also be used to cover Open Access fees where the alternative is not possible.</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Our proposal is to maintain an average number of publications per year but to improve the impact parameter as much as possible, as we have been doing in the last years. An important part of our dissemination strategy will be presenting our work at targeted international meetings, conferences such as APS March Meeting, CMD, ICPS, SPIE Microtechnologies, MRS, as well as more specialized workshops.  Moreover, we do believe that the exchange of ideas is indispensable in Science. Thus, as we regularly do, we will give seminars in the departments and institutions. Moreover, we all promote research stays in world-renowned institutions since all team members make frequent visits to other centers.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We maintain active national and international collaborations with the following theoretical and experimental groups: Pedro Orellana, Mónica Pacheco, Eric Suárez Morell and Sergio Bravo, Universidad Técnica Federico Santa María, Chile; Michael Hilke and Samuel Huberman, MGU, Canada (Members of the Work Team of SP2); Stephen Power, Dublin City University, Ireland; Christian Degen, ETH Zurich, Switzerland; Stephan Roche, IC2N Spain; Reyes Calvo, Ikerbasque BCMaterials, Spain; Ramón Aguado, Gloria Platero, Jorge Quereda and Andrés Castellanos-Gómez, (ICMM-CSIC), Madrid; David Sánchez, Instituto de Física Interdisciplinar y Sistemas Complejos (UIB-CSIC), Palma de Mallorca; Bianchi Méndez and Jorge Rubio Retama, Universidad Complutense de Madrid; Amaia Zurutuza, Graphenea, San Sebastián; Camilla Coletti (IIT) Pisa, Italy; José María de Teresa, Universidad de Zaragoza; Efrén Navarro Moratalla, Universidad de Valencia; Alexander Hamilton, University of New South Wales, Australia; Vittorio Bellani, Università degli studi di Pavia, Italy; Julián D. Correa, Universidad de Medellín, Colombia; Andrea Latgé, Universidade Federal Fluminense, Niterói, RJ, Brazil; Andrés Ayuela, DIPC and CFM-CSIC, Universidad del País Vasco, San Sebastián; W. Jaskólski and Marta Pelc, University N. Copernicus, Torun, Poland; Carlos Cabrillo and Ricardo Fernández-Perea, IEM-CSIC, Madrid; Rodolfo Jalabert and Dietmar Weinmann, CNRS, Strasbourg, France; Klaus Richter, Universität Regensburg, Germany; Sascha Sadewasser, INL Braga, Portugal; Esther Barrena, (ICMAB-CSIC), Barcelona; Rudolf Römer, University of Warwick, United Kingdom.</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numPr>
          <w:ilvl w:val="1"/>
          <w:numId w:val="1"/>
        </w:numPr>
        <w:pBdr/>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rPr>
        <w:t>Plan for dissemination of the results to the most relevant groups for the theme of the project and to society in general.</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We will also reach general audiences through media outreach. Results will be shared in popular science magazines, newsrooms, social platforms, and our websites. Both institutions will organize offline roadshows at local venues (high schools, universities, and technology parks) along with events like Madrid’s annual Semana de la Ciencia. These activities will be open to all, but designed to engage young scientists and high-tech SMEs likely to use our results. We collaborate with Ciencia a la Carta, a non-profit focused on science outreach, especially highlighting work by women and reaching rural and special-needs communities. We also take part in 11 de febrero events for the International Day of Women and Girls in Science. In addition, we participate in the STEM Talent Girl mentoring program, connecting experienced women in STEM with younger students.</w:t>
      </w:r>
    </w:p>
    <w:p>
      <w:pPr>
        <w:pStyle w:val="Normal"/>
        <w:spacing w:lineRule="auto" w:line="240" w:before="0" w:after="0"/>
        <w:jc w:val="both"/>
        <w:rPr>
          <w:rFonts w:ascii="Times New Roman" w:hAnsi="Times New Roman" w:eastAsia="Times New Roman" w:cs="Times New Roman"/>
          <w:b/>
          <w:bCs/>
          <w:i/>
          <w:i/>
          <w:iCs/>
        </w:rPr>
      </w:pPr>
      <w:r>
        <w:rPr>
          <w:rFonts w:eastAsia="Times New Roman" w:cs="Times New Roman" w:ascii="Times New Roman" w:hAnsi="Times New Roman"/>
        </w:rPr>
        <w:t>As can be seen in the curricula of PIs, we have also published articles in outreach magazines aimed at non-specialized readers, such as the Revista Española de Física, the American Journal of Physics and the European Journal of Physics. Other national and international relevant professional media will be targeted for the dissemination of the results derived from the research and the main discoveries will be advertised on popular websites.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numPr>
          <w:ilvl w:val="1"/>
          <w:numId w:val="1"/>
        </w:numPr>
        <w:pBdr/>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rPr>
        <w:t xml:space="preserve">Transfer plan and valorization of results.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This project focuses on basic research on new materials with potential applications in nanoelectronics. Although the electronics industry is not sufficiently implanted in Spain, materials, nanomaterials and composites industry are deeply rooted. This fact undoubtedly increases the possibilities of transferring the results of this project to the productive sector.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NANOTECH at USAL participate in the project entitled JRP-F11: “(StaReGraph) Use of electrical key control characteristics to assess the degradation of graphene" in a Joint Research Project of the European Metrology Research Programme for Innovation and Research (EMPIR), led by Felix Raso from the Centro Español de Metrología. This project includes among others two of the main Spanish industrial partners involved in graphene technologies like Graphenea and Das-Nano. All these long-term collaborations with a variety of European industrial partners involved in graphene technologies will facilitate the transfer of the project results in graphene and other 2D materials to the EU productive sector.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In 2022 we signed a relevant contract (Art. 83) of knowledge transfer with the Australian company HB11 Energy at Sydney to participate in an industrial project (2022-2025) for Laser Induced Proton-Boron Fusion for a total amount over 300.000€, led by the two PIs of SP2. We signed in January 2023 a new agreement with the Centro de Láseres Pulsados (CLPU), involving HB11 with the presence of the Australian Ambassador in Spain, that also will provide new opportunities for knowledge transfer.</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numPr>
          <w:ilvl w:val="1"/>
          <w:numId w:val="1"/>
        </w:numPr>
        <w:pBdr/>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rPr>
        <w:t xml:space="preserve">Summary´s management plan of the planned data.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A Data Management Plan will be developed to outline the methodology for handling, storing, and analyzing project data (see Activity 4.2 of WP4). We aim to make the data findable, accessible, interoperable, and reusable. The Plan will specify accessibility levels, including open access, and a public repository will be used for data management, storage, and sharing, following established standards and strategies.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numPr>
          <w:ilvl w:val="1"/>
          <w:numId w:val="1"/>
        </w:numPr>
        <w:pBdr/>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rPr>
        <w:t xml:space="preserve">Effects of gender inclusion in the content of the proposal. </w:t>
      </w:r>
    </w:p>
    <w:p>
      <w:pPr>
        <w:pStyle w:val="Normal"/>
        <w:spacing w:lineRule="auto" w:line="240" w:before="0" w:after="0"/>
        <w:jc w:val="both"/>
        <w:rPr>
          <w:rFonts w:ascii="Arial" w:hAnsi="Arial" w:eastAsia="Arial" w:cs="Arial"/>
          <w:color w:val="000000"/>
        </w:rPr>
      </w:pPr>
      <w:r>
        <w:rPr>
          <w:rFonts w:eastAsia="Arial" w:cs="Arial" w:ascii="Arial" w:hAnsi="Arial"/>
          <w:color w:val="000000"/>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The proposal ensures that gender inclusion is systematically addressed, assessing its potential effects on research design, team composition, and the broader impact of the project outcomes.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Heading1"/>
        <w:numPr>
          <w:ilvl w:val="0"/>
          <w:numId w:val="1"/>
        </w:numPr>
        <w:spacing w:lineRule="auto" w:line="240" w:before="0" w:after="0"/>
        <w:ind w:hanging="426" w:left="426"/>
        <w:jc w:val="both"/>
        <w:rPr>
          <w:rFonts w:ascii="Times New Roman" w:hAnsi="Times New Roman" w:eastAsia="Times New Roman" w:cs="Times New Roman"/>
          <w:b/>
          <w:bCs/>
          <w:color w:val="000000"/>
          <w:sz w:val="22"/>
          <w:szCs w:val="22"/>
        </w:rPr>
      </w:pPr>
      <w:r>
        <w:rPr>
          <w:rFonts w:eastAsia="Times New Roman" w:cs="Times New Roman" w:ascii="Times New Roman" w:hAnsi="Times New Roman"/>
          <w:b/>
          <w:bCs/>
          <w:color w:val="000000"/>
          <w:sz w:val="22"/>
          <w:szCs w:val="22"/>
        </w:rPr>
        <w:t xml:space="preserve">JUSTIFICATION OF THE REQUESTED BUDGET.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We have organized a budget where the amount required to finance travels, according to the needs of the proposed research, is well balanced. This includes attendance at conferences in the framework of the dissemination of results and maintaining or starting new international collaborations. A part of this item budget will be devoted to several long-term visits to or from the institutions with which we regularly collaborate in all the different subprojects. On the other hand, we have included travel expenses for the members of the work team (postdocs and doctoral students), in direct relation to the training plan established in the proposal, as well as the estimated budget for coordination workshops.</w:t>
        <w:tab/>
        <w:t xml:space="preserve"> </w:t>
        <w:tab/>
      </w:r>
    </w:p>
    <w:p>
      <w:pPr>
        <w:pStyle w:val="Normal"/>
        <w:spacing w:lineRule="auto" w:line="240" w:before="240" w:after="240"/>
        <w:ind w:firstLine="20"/>
        <w:jc w:val="both"/>
        <w:rPr>
          <w:rFonts w:ascii="Times New Roman" w:hAnsi="Times New Roman" w:eastAsia="Times New Roman" w:cs="Times New Roman"/>
          <w:highlight w:val="yellow"/>
        </w:rPr>
      </w:pPr>
      <w:r>
        <w:rPr>
          <w:rFonts w:eastAsia="Times New Roman" w:cs="Times New Roman" w:ascii="Times New Roman" w:hAnsi="Times New Roman"/>
          <w:i/>
          <w:iCs/>
        </w:rPr>
        <w:t xml:space="preserve">Budget of SP1 (UCM) </w:t>
      </w:r>
    </w:p>
    <w:p>
      <w:pPr>
        <w:pStyle w:val="Normal"/>
        <w:widowControl w:val="false"/>
        <w:spacing w:lineRule="auto" w:line="240" w:before="240" w:after="240"/>
        <w:ind w:firstLine="20"/>
        <w:jc w:val="both"/>
        <w:rPr>
          <w:rFonts w:ascii="Times New Roman" w:hAnsi="Times New Roman" w:eastAsia="Times New Roman" w:cs="Times New Roman"/>
        </w:rPr>
      </w:pPr>
      <w:r>
        <w:rPr>
          <w:rFonts w:eastAsia="Times New Roman" w:cs="Times New Roman" w:ascii="Times New Roman" w:hAnsi="Times New Roman"/>
        </w:rPr>
        <w:t>Our group’s current computational resources (a mainframe Supermicro H12DSG equipped with dual AMD Milan 7763 processors, along with several desktop PCs) are insufficient for the planned numerical simulations. The mainframe is already heavily used by doctoral students and researchers for various ongoing projects unrelated to this proposal, primarily involving intensive DFT calculations and simulations using the Kwant toolkit and our own codes. Therefore, access to a dedicated high-performance computing system is highly desirable. It is important to note that our Matlab-based codes are not compatible with the infrastructure of the Red Española de Supercomputación due to license restrictions. Consequently, we plan to acquire a Supermicro H12DSG mainframe for 30.000€. The budget also includes the expenses associated with the purchase of two desktop computers and four laptops, which will replace our older equipment (10.000€). We plan to cover the open-access fees for ten papers, bringing the total estimated cost to 10 × 2.000€ = 20.000€. A budget item is allocated to hire one of the doctoral candidates for three months after defending their doctoral thesis, in order to complete tasks related mainly to the writing of scientific articles (12.000€). Finally, we</w:t>
      </w:r>
      <w:r>
        <w:rPr>
          <w:rFonts w:eastAsia="Times New Roman" w:cs="Times New Roman" w:ascii="Times New Roman" w:hAnsi="Times New Roman"/>
          <w:b/>
          <w:bCs/>
        </w:rPr>
        <w:t xml:space="preserve"> </w:t>
      </w:r>
      <w:r>
        <w:rPr>
          <w:rFonts w:eastAsia="Times New Roman" w:cs="Times New Roman" w:ascii="Times New Roman" w:hAnsi="Times New Roman"/>
        </w:rPr>
        <w:t>will allocate 48.000€+15.000€ = 63.000€ to cover travel expenses directly associated with the research activities of SP1 members (attendance to conferences and visits to other institutions) and 1.200€ for audit costs (required by UCM).</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The requested direct costs for SP1 at UCM amount to 174.300€.</w:t>
      </w:r>
    </w:p>
    <w:p>
      <w:pPr>
        <w:pStyle w:val="Normal"/>
        <w:spacing w:lineRule="auto" w:line="240" w:before="240" w:after="240"/>
        <w:ind w:firstLine="20"/>
        <w:jc w:val="both"/>
        <w:rPr>
          <w:rFonts w:ascii="Times New Roman" w:hAnsi="Times New Roman" w:eastAsia="Times New Roman" w:cs="Times New Roman"/>
          <w:i/>
          <w:i/>
          <w:iCs/>
        </w:rPr>
      </w:pPr>
      <w:r>
        <w:rPr>
          <w:rFonts w:eastAsia="Times New Roman" w:cs="Times New Roman" w:ascii="Times New Roman" w:hAnsi="Times New Roman"/>
          <w:i/>
          <w:iCs/>
        </w:rPr>
        <w:t>Budget of SP2 (USAL)</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A key element of this proposal is the acquisition of a state-of-the-art atomic force microscope (AFM), the Nano-Observer I+ from Concept Scientific Instruments (CSI, France)  (86.000€). This instrument provides the robustness, precision, and versatility required for our ongoing efforts to improve the structural quality of our fabricated devices. Its motorized XY stage, closed-loop scanners, and low-noise Galaxy controller will enable highly stable and repeatable contact-mode “ironing” of encapsulated channels, improving throughput and reproducibility, which are essential for developing cleaner graphene stacks with longer coherent lengths and reduced impurity levels, a prerequisite for achieving hydrodynamic transport effects and exploring induced moiré and super-moiré pattern phenomena. We envisage hiring a postdoctoral researcher to reinforce the fabrication of high-quality 2d materials twisted heterostructures and to implement the new process of AFM cleaning to achieve the highest quality samples (30.000€). We estimate that funding for 6 months could be enough, meanwhile we obtain funding for a longer contract from internal programs at USAL (Postdoctoral grants) or other postdoctoral fellowships for younger researchers.  The budget also includes the expenses associated with the purchase of one desktop computer and two laptops, which will replace our older equipment (5.000€).</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In addition, we will allocate 15.000€ per year to clean-room consumables (resists, solvents, etchants, substrates, metals, gases, and other fabrication materials) necessary for the continuous development and optimization of our device structures, 5.000€ per year for maintenance 8.000€ per year to cover direct costs associated to the access to USAL’s clean room through USAL-Nanolab. Certain specialized measurements (e.g., AFM, TEM, or FIB nanostructuring) may need to be performed by external  facilities, estimated at 2.000 €/year. As described in the SP2 (USAL) budget, we will also cover the publication charges for two open-access papers (6.000€) even though we will use internal APCs. Finally, we will allocate a total of 45.600€ to travel expenses related to SP2 research activities (research expeditions, conferences, conference fees, etc).</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The overall requested direct costs for SP2 at USAL amount to 262.600€.</w:t>
      </w:r>
    </w:p>
    <w:p>
      <w:pPr>
        <w:pStyle w:val="Normal"/>
        <w:spacing w:lineRule="auto" w:line="240" w:before="240" w:after="240"/>
        <w:jc w:val="both"/>
        <w:rPr>
          <w:rFonts w:ascii="Times New Roman" w:hAnsi="Times New Roman" w:eastAsia="Times New Roman" w:cs="Times New Roman"/>
        </w:rPr>
      </w:pPr>
      <w:r>
        <w:rPr/>
      </w:r>
    </w:p>
    <w:p>
      <w:pPr>
        <w:pStyle w:val="Heading1"/>
        <w:numPr>
          <w:ilvl w:val="0"/>
          <w:numId w:val="1"/>
        </w:numPr>
        <w:spacing w:lineRule="auto" w:line="240" w:before="0" w:after="0"/>
        <w:ind w:hanging="426" w:left="426"/>
        <w:jc w:val="both"/>
        <w:rPr>
          <w:rFonts w:ascii="Times New Roman" w:hAnsi="Times New Roman" w:eastAsia="Times New Roman" w:cs="Times New Roman"/>
          <w:b/>
          <w:bCs/>
          <w:color w:val="000000"/>
          <w:sz w:val="22"/>
          <w:szCs w:val="22"/>
        </w:rPr>
      </w:pPr>
      <w:r>
        <w:rPr>
          <w:rFonts w:eastAsia="Times New Roman" w:cs="Times New Roman" w:ascii="Times New Roman" w:hAnsi="Times New Roman"/>
          <w:b/>
          <w:bCs/>
          <w:color w:val="000000"/>
          <w:sz w:val="22"/>
          <w:szCs w:val="22"/>
        </w:rPr>
        <w:t>TRAINING CAPACITY.</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numPr>
          <w:ilvl w:val="1"/>
          <w:numId w:val="1"/>
        </w:numPr>
        <w:pBdr/>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rPr>
        <w:t>Training program planned in the context of the requested Project.</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Many PhD students involved in this proposal, if not all of them, started their research activities (Final Degree Project or Master Thesis) under the supervision of the senior members. Therefore, from day one, they are perfectly integrated within the group. They conduct their studies and research projects under the supervision of the senior members. The researchers of both subprojects are engaged in competitive international science, with an outstanding collective and individual record of research achievements and publications in top-quality journals, collaborate within an extensive network of renowned researchers worldwide and possess vast experience in the supervision of PhD fellows (see their CVs). Furthermore, all seniors have supervised many either PhD, Master and Bachelor Thesis in the recent past as well. </w:t>
      </w:r>
    </w:p>
    <w:p>
      <w:pPr>
        <w:pStyle w:val="Normal"/>
        <w:spacing w:lineRule="auto" w:line="240" w:before="240" w:after="240"/>
        <w:jc w:val="both"/>
        <w:rPr>
          <w:rFonts w:ascii="Times New Roman" w:hAnsi="Times New Roman" w:eastAsia="Times New Roman" w:cs="Times New Roman"/>
        </w:rPr>
      </w:pPr>
      <w:r>
        <w:rPr>
          <w:rFonts w:eastAsia="Times New Roman" w:cs="Times New Roman" w:ascii="Times New Roman" w:hAnsi="Times New Roman"/>
        </w:rPr>
        <w:t xml:space="preserve">PhD students will enroll in the joint doctoral program offered by the two host universities (UCM and USAL), which covers cutting-edge topics in nanophysics and advanced materials, among others. Both UCM and USAL are strongly committed to enhancing the career prospects and international connections of their PhD candidates, enabling diverse professional pathways in leading institutions worldwide, both in academia and industry. Students will receive rigorous scientific and research-based training, active mentoring, and continuous support, complemented by the development of a </w:t>
      </w:r>
      <w:r>
        <w:rPr>
          <w:rFonts w:eastAsia="Times New Roman" w:cs="Times New Roman" w:ascii="Times New Roman" w:hAnsi="Times New Roman"/>
          <w:b/>
          <w:bCs/>
        </w:rPr>
        <w:t>wide range of transferable soft skills</w:t>
      </w:r>
      <w:r>
        <w:rPr>
          <w:rFonts w:eastAsia="Times New Roman" w:cs="Times New Roman" w:ascii="Times New Roman" w:hAnsi="Times New Roman"/>
        </w:rPr>
        <w:t xml:space="preserve"> to ensure a smooth and successful career progression. USAL also encourages its PhD students to follow a </w:t>
      </w:r>
      <w:hyperlink r:id="rId13">
        <w:r>
          <w:rPr>
            <w:rStyle w:val="Style3"/>
            <w:rFonts w:eastAsia="Times New Roman" w:cs="Times New Roman" w:ascii="Times New Roman" w:hAnsi="Times New Roman"/>
            <w:color w:val="1155CC"/>
            <w:u w:val="single"/>
          </w:rPr>
          <w:t>comprehensive program of lectures</w:t>
        </w:r>
      </w:hyperlink>
      <w:r>
        <w:rPr>
          <w:rFonts w:eastAsia="Times New Roman" w:cs="Times New Roman" w:ascii="Times New Roman" w:hAnsi="Times New Roman"/>
        </w:rPr>
        <w:t xml:space="preserve"> covering various soft skills, including public speaking, programming, and diversity awareness, organized by the </w:t>
      </w:r>
      <w:r>
        <w:rPr>
          <w:rFonts w:eastAsia="Times New Roman" w:cs="Times New Roman" w:ascii="Times New Roman" w:hAnsi="Times New Roman"/>
          <w:i/>
          <w:iCs/>
        </w:rPr>
        <w:t>Escuela de Doctorado Studii Salamantini</w:t>
      </w:r>
      <w:r>
        <w:rPr>
          <w:rFonts w:eastAsia="Times New Roman" w:cs="Times New Roman" w:ascii="Times New Roman" w:hAnsi="Times New Roman"/>
        </w:rPr>
        <w:t>, where PI2 of SP2 serves as Deputy Director and responsible for coordinating all this complementary training at the University level.</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We promote an international research environment that crosses traditional disciplinary and sector boundaries, encouraging multidisciplinary projects. Mobility, research stays abroad, collaborations, conferences, and workshops, is strongly supported, fostering cross-fertilization of ideas. Throughout their PhD, fellows receive career guidance and benefit from our academic and industrial partnerships. Upon completing their projects, they are encouraged to continue their careers at international institutions.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Mentoring actions are assigned to Academic Programs and PhD Boards. In particular, PI1 of SP1 served as the Coordinator of the Physics PhD Program in UCM. In addition, Armando Relaño (SP1) is the current Coordinator of this Programa and Leonor Chico (PI2 of SP1) is a member of the Academic Board of the same PhD Program. PhD students may consult them at any time with questions or comments they may find regarding academic progress, career development or supervision arrangements. During the first year of the PhD Program, alumni must attend the </w:t>
      </w:r>
      <w:hyperlink r:id="rId14">
        <w:r>
          <w:rPr>
            <w:rStyle w:val="Style3"/>
            <w:rFonts w:eastAsia="Times New Roman" w:cs="Times New Roman" w:ascii="Times New Roman" w:hAnsi="Times New Roman"/>
            <w:i/>
            <w:iCs/>
            <w:color w:val="1155CC"/>
            <w:u w:val="single"/>
          </w:rPr>
          <w:t>Jornadas de Doctorandos</w:t>
        </w:r>
      </w:hyperlink>
      <w:r>
        <w:rPr>
          <w:rFonts w:eastAsia="Times New Roman" w:cs="Times New Roman" w:ascii="Times New Roman" w:hAnsi="Times New Roman"/>
        </w:rPr>
        <w:t>. This two-to-three-day workshop consists in a number of oral presentations given by the second-year PhD students about their research work. The goal is to provide PhD students a first contact with scientific meetings, both as participants (first year) and as speakers (second year). Furthermore, every academic year, after a mandatory report by the academic tutor and supervisors, the Physics PhD Program Board reviews the research and educational activities of the PhD students (publications, training courses, seminars and conferences, contributions to national and international conferences, etc). The Board then issues a report (positive or negative, depending on the progress made by the students). This process guarantees high-standard PhD training for all students during their PhD Thesis.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As mentioned above, we also actively promote outreach activities, aiming to inspire students from elementary to high-school levels, teachers, fellow scientists and public stakeholders. As an example, let us mention the participation in the Semana de la Ciencia and the organization of the seminars Últimos Avances en Física de la Materia Condensada and the workshop Taller en la Nanoescala: Teoría y métodos numéricos for Undergraduate and Master Students, Encuentros en las Fronteras de la Ciencia or +Física, organized in collaboration with the Spanish Royal Physics Society.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The particular skills needed by the future hired PhD students will be detailed in the following:</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FPI1</w:t>
      </w:r>
      <w:r>
        <w:rPr>
          <w:rFonts w:eastAsia="Times New Roman" w:cs="Times New Roman" w:ascii="Times New Roman" w:hAnsi="Times New Roman"/>
        </w:rPr>
        <w:t xml:space="preserve"> (SP1): The PhD student will primarily focus on tasks related to WP1. Specifically, their expected contributions will pertain directly to the theory of activities 1.2, 1.3, and 1.4. The student will work on the fundamentals of electron and phonon hydrodynamics while becoming familiar with the current state of the art. We plan to leverage the numerical codes developed by J. Estrada to solve the 2D Boltzmann and Navier-Stokes equations in arbitrary geometries, and therefore, the student will gain experience in MATLAB programming. As part of their training, short visits to the USAL facilities are planned to learn the intricacies of the experiments. Additionally, the financial support provided by the FPI contract will allow the student to spend at least three months at an international research institution, enabling them to apply for the International Doctorate Mention.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b/>
          <w:bCs/>
        </w:rPr>
        <w:t>FPI2</w:t>
      </w:r>
      <w:r>
        <w:rPr>
          <w:rFonts w:eastAsia="Times New Roman" w:cs="Times New Roman" w:ascii="Times New Roman" w:hAnsi="Times New Roman"/>
        </w:rPr>
        <w:t xml:space="preserve"> (SP2): This PhD student will be dedicated to WP2. Specifically, their expected contributions will pertain directly to the theory of activities 2.2 and 2.3. Throughout their studies, the student will acquire valuable expertise in dry transfer techniques, electron-beam lithography and deposition, as well as Raman characterization as a function of temperature and low-temperature and low-frequency magnetotransport measurements in 2D-based structures focusing on studying electronic transport (and the effect of strain on them) in induced moiré structures, particularly those exhibiting flat bands and superconductivity, building upon the group’s established expertise in this field. As part of their training, short research visits to the Madrid node are planned to explore theoretical aspects of flat bands in two-dimensional materials. Additionally, the financial support provided by the FPI contract will enable the student to spend at least three months at an international research institution, allowing them to apply for the International Doctorate Mention.</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numPr>
          <w:ilvl w:val="1"/>
          <w:numId w:val="1"/>
        </w:numPr>
        <w:pBdr/>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color w:val="000000"/>
        </w:rPr>
        <w:t xml:space="preserve">Thesis completed or in progress within the scope of the research team (last 10 years).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1. Student: </w:t>
      </w:r>
      <w:r>
        <w:rPr>
          <w:rFonts w:eastAsia="Times New Roman" w:cs="Times New Roman" w:ascii="Times New Roman" w:hAnsi="Times New Roman"/>
          <w:b/>
          <w:bCs/>
        </w:rPr>
        <w:t xml:space="preserve">Cristina Sardón Muñoz </w:t>
      </w:r>
      <w:r>
        <w:rPr>
          <w:rFonts w:eastAsia="Times New Roman" w:cs="Times New Roman" w:ascii="Times New Roman" w:hAnsi="Times New Roman"/>
        </w:rPr>
        <w:t xml:space="preserve">(USAL). Supervisor: P. García Estévez (SP2). Title: </w:t>
      </w:r>
      <w:r>
        <w:rPr>
          <w:rFonts w:eastAsia="Times New Roman" w:cs="Times New Roman" w:ascii="Times New Roman" w:hAnsi="Times New Roman"/>
          <w:color w:val="0000FF"/>
        </w:rPr>
        <w:t>Lie systems, Lie symmetries and reciprocal transformations</w:t>
      </w:r>
      <w:r>
        <w:rPr>
          <w:rFonts w:eastAsia="Times New Roman" w:cs="Times New Roman" w:ascii="Times New Roman" w:hAnsi="Times New Roman"/>
        </w:rPr>
        <w:t xml:space="preserve">. Defended in 2015 with 12 papers published in peer reviewed journals and awarded the Extraordinary Doctorate Prize. The student held a USAL PhD grant and stayed three months at University of Warsaw, Poland (International Doctorate Mention).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2. Student: </w:t>
      </w:r>
      <w:r>
        <w:rPr>
          <w:rFonts w:eastAsia="Times New Roman" w:cs="Times New Roman" w:ascii="Times New Roman" w:hAnsi="Times New Roman"/>
          <w:b/>
          <w:bCs/>
        </w:rPr>
        <w:t>Marta Saiz Bretín</w:t>
      </w:r>
      <w:r>
        <w:rPr>
          <w:rFonts w:eastAsia="Times New Roman" w:cs="Times New Roman" w:ascii="Times New Roman" w:hAnsi="Times New Roman"/>
        </w:rPr>
        <w:t xml:space="preserve"> (UCM). Supervisors: A. V. Malyshev (SP1) and F. Domínguez-Adame (SP1). Title: </w:t>
      </w:r>
      <w:r>
        <w:rPr>
          <w:rFonts w:eastAsia="Times New Roman" w:cs="Times New Roman" w:ascii="Times New Roman" w:hAnsi="Times New Roman"/>
          <w:color w:val="0000FF"/>
        </w:rPr>
        <w:t>Electronic and thermal properties of graphene nanostructures</w:t>
      </w:r>
      <w:r>
        <w:rPr>
          <w:rFonts w:eastAsia="Times New Roman" w:cs="Times New Roman" w:ascii="Times New Roman" w:hAnsi="Times New Roman"/>
        </w:rPr>
        <w:t>. Defended in 2019 with 9 papers published in peer reviewed journals. The student held a FPI grant and stayed four months at University of Warwick, United Kingdom (International Doctorate Mention).</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3. Student: </w:t>
      </w:r>
      <w:r>
        <w:rPr>
          <w:rFonts w:eastAsia="Times New Roman" w:cs="Times New Roman" w:ascii="Times New Roman" w:hAnsi="Times New Roman"/>
          <w:b/>
          <w:bCs/>
        </w:rPr>
        <w:t>Álvaro Díaz Fernández</w:t>
      </w:r>
      <w:r>
        <w:rPr>
          <w:rFonts w:eastAsia="Times New Roman" w:cs="Times New Roman" w:ascii="Times New Roman" w:hAnsi="Times New Roman"/>
        </w:rPr>
        <w:t xml:space="preserve"> (UCM). Supervisors: E. Díaz (SP1) and F. Domínguez-Adame (SP1). Title: </w:t>
      </w:r>
      <w:r>
        <w:rPr>
          <w:rFonts w:eastAsia="Times New Roman" w:cs="Times New Roman" w:ascii="Times New Roman" w:hAnsi="Times New Roman"/>
          <w:color w:val="0000FF"/>
        </w:rPr>
        <w:t>Reshaping of Dirac cones in topological insulators and graphene</w:t>
      </w:r>
      <w:r>
        <w:rPr>
          <w:rFonts w:eastAsia="Times New Roman" w:cs="Times New Roman" w:ascii="Times New Roman" w:hAnsi="Times New Roman"/>
        </w:rPr>
        <w:t>. Defended in 2019 with 6 papers published in peer reviewed journals. The student held a UCM PhD grant and stayed three months at University of Pavia, Italy (International Doctorate Mention). Thesis selected for the Series Recognizing Outstanding Ph.D. Research by Springer in 2021.</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4. Student: </w:t>
      </w:r>
      <w:r>
        <w:rPr>
          <w:rFonts w:eastAsia="Times New Roman" w:cs="Times New Roman" w:ascii="Times New Roman" w:hAnsi="Times New Roman"/>
          <w:b/>
          <w:bCs/>
        </w:rPr>
        <w:t>Vito Clericó</w:t>
      </w:r>
      <w:r>
        <w:rPr>
          <w:rFonts w:eastAsia="Times New Roman" w:cs="Times New Roman" w:ascii="Times New Roman" w:hAnsi="Times New Roman"/>
        </w:rPr>
        <w:t xml:space="preserve"> (USAL). Supervisor: E. Diez (SP2). Title: </w:t>
      </w:r>
      <w:r>
        <w:rPr>
          <w:rFonts w:eastAsia="Times New Roman" w:cs="Times New Roman" w:ascii="Times New Roman" w:hAnsi="Times New Roman"/>
          <w:color w:val="0000FF"/>
        </w:rPr>
        <w:t>Fabrication and characterization of nanomaterials: Graphene, topological insulators and other 2D materials</w:t>
      </w:r>
      <w:r>
        <w:rPr>
          <w:rFonts w:eastAsia="Times New Roman" w:cs="Times New Roman" w:ascii="Times New Roman" w:hAnsi="Times New Roman"/>
        </w:rPr>
        <w:t>. Defended in 2019 with 4 papers published in peer reviewed journals. The student held a Junta de Castilla y León PhD grant and stayed three months at Radboud Universiteit, The Netherlands (International Doctorate Mention).</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5. Student: </w:t>
      </w:r>
      <w:r>
        <w:rPr>
          <w:rFonts w:eastAsia="Times New Roman" w:cs="Times New Roman" w:ascii="Times New Roman" w:hAnsi="Times New Roman"/>
          <w:b/>
          <w:bCs/>
        </w:rPr>
        <w:t>Cristina Hernández Fuentevilla</w:t>
      </w:r>
      <w:r>
        <w:rPr>
          <w:rFonts w:eastAsia="Times New Roman" w:cs="Times New Roman" w:ascii="Times New Roman" w:hAnsi="Times New Roman"/>
        </w:rPr>
        <w:t xml:space="preserve"> (USAL). Supervisors: J. Domínguez Lejarreta (SP2) and E. Diez (SP2). Title: </w:t>
      </w:r>
      <w:r>
        <w:rPr>
          <w:rFonts w:eastAsia="Times New Roman" w:cs="Times New Roman" w:ascii="Times New Roman" w:hAnsi="Times New Roman"/>
          <w:color w:val="0000FF"/>
        </w:rPr>
        <w:t>Transmission and conductance in graphene-based electronic devices</w:t>
      </w:r>
      <w:r>
        <w:rPr>
          <w:rFonts w:eastAsia="Times New Roman" w:cs="Times New Roman" w:ascii="Times New Roman" w:hAnsi="Times New Roman"/>
        </w:rPr>
        <w:t xml:space="preserve">. Defended in 2019 with 5 papers published in peer reviewed journals. The student held a tenured-track position as  a </w:t>
      </w:r>
      <w:r>
        <w:rPr>
          <w:rFonts w:eastAsia="Times New Roman" w:cs="Times New Roman" w:ascii="Times New Roman" w:hAnsi="Times New Roman"/>
          <w:i/>
          <w:iCs/>
        </w:rPr>
        <w:t>Titular de Escuela Universitaria</w:t>
      </w:r>
      <w:r>
        <w:rPr>
          <w:rFonts w:eastAsia="Times New Roman" w:cs="Times New Roman" w:ascii="Times New Roman" w:hAnsi="Times New Roman"/>
        </w:rPr>
        <w:t xml:space="preserve"> at USAL.</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6. Student: </w:t>
      </w:r>
      <w:r>
        <w:rPr>
          <w:rFonts w:eastAsia="Times New Roman" w:cs="Times New Roman" w:ascii="Times New Roman" w:hAnsi="Times New Roman"/>
          <w:b/>
          <w:bCs/>
        </w:rPr>
        <w:t xml:space="preserve">Sergio Bravo Castillo </w:t>
      </w:r>
      <w:r>
        <w:rPr>
          <w:rFonts w:eastAsia="Times New Roman" w:cs="Times New Roman" w:ascii="Times New Roman" w:hAnsi="Times New Roman"/>
        </w:rPr>
        <w:t xml:space="preserve">(Universidad Técnica Federico Santa María). Supervisors: M. Pacheco (Universidad Técnica Federico Santa María, Chile) and L. Chico (SP1). Title: </w:t>
      </w:r>
      <w:r>
        <w:rPr>
          <w:rFonts w:eastAsia="Times New Roman" w:cs="Times New Roman" w:ascii="Times New Roman" w:hAnsi="Times New Roman"/>
          <w:color w:val="0000FF"/>
        </w:rPr>
        <w:t>Physical properties of nanomaterials with applications to pentamaterials</w:t>
      </w:r>
      <w:r>
        <w:rPr>
          <w:rFonts w:eastAsia="Times New Roman" w:cs="Times New Roman" w:ascii="Times New Roman" w:hAnsi="Times New Roman"/>
        </w:rPr>
        <w:t xml:space="preserve">. Defended in 2019 with 2 papers published in peer reviewed journals. The student held a Chilean PhD grant and an international Spanish-Chilean travel grant.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7. Student: </w:t>
      </w:r>
      <w:r>
        <w:rPr>
          <w:rFonts w:eastAsia="Times New Roman" w:cs="Times New Roman" w:ascii="Times New Roman" w:hAnsi="Times New Roman"/>
          <w:b/>
          <w:bCs/>
        </w:rPr>
        <w:t>Paz Albares Vicente</w:t>
      </w:r>
      <w:r>
        <w:rPr>
          <w:rFonts w:eastAsia="Times New Roman" w:cs="Times New Roman" w:ascii="Times New Roman" w:hAnsi="Times New Roman"/>
        </w:rPr>
        <w:t xml:space="preserve"> (USAL). Supervisor: P. García Estévez (SP2). Title: </w:t>
      </w:r>
      <w:r>
        <w:rPr>
          <w:rFonts w:eastAsia="Times New Roman" w:cs="Times New Roman" w:ascii="Times New Roman" w:hAnsi="Times New Roman"/>
          <w:color w:val="0000FF"/>
        </w:rPr>
        <w:t>Integrability, rational solitons and symmetries for nonlinear systems in biology and materials physics</w:t>
      </w:r>
      <w:r>
        <w:rPr>
          <w:rFonts w:eastAsia="Times New Roman" w:cs="Times New Roman" w:ascii="Times New Roman" w:hAnsi="Times New Roman"/>
        </w:rPr>
        <w:t>. Defended in 2021 with 6 papers published in peer reviewed journals. The student held a FPU grant and stayed three months at University of Perugia, Italy (International Doctorate Mention). Extraordinary doctorate award by USAL.</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8. Student: </w:t>
      </w:r>
      <w:r>
        <w:rPr>
          <w:rFonts w:eastAsia="Times New Roman" w:cs="Times New Roman" w:ascii="Times New Roman" w:hAnsi="Times New Roman"/>
          <w:b/>
          <w:bCs/>
        </w:rPr>
        <w:t>Álvaro Rubio García</w:t>
      </w:r>
      <w:r>
        <w:rPr>
          <w:rFonts w:eastAsia="Times New Roman" w:cs="Times New Roman" w:ascii="Times New Roman" w:hAnsi="Times New Roman"/>
        </w:rPr>
        <w:t xml:space="preserve"> (UAM). Supervisors:  R. Molina (SP1), J. Dukelsky (IEM, CSIC) and J. J. García Ripoll (IFF, CSIC). Title: </w:t>
      </w:r>
      <w:r>
        <w:rPr>
          <w:rFonts w:eastAsia="Times New Roman" w:cs="Times New Roman" w:ascii="Times New Roman" w:hAnsi="Times New Roman"/>
          <w:color w:val="0000FF"/>
        </w:rPr>
        <w:t>Selected topics in quantum many-body physics: integrable and open quantum systems, the variational reduced density matrix method and topological insulators</w:t>
      </w:r>
      <w:r>
        <w:rPr>
          <w:rFonts w:eastAsia="Times New Roman" w:cs="Times New Roman" w:ascii="Times New Roman" w:hAnsi="Times New Roman"/>
        </w:rPr>
        <w:t>. Defended in 2021 with 9 papers published in peer reviewed journals. The student held a FPI grant and stayed two months at Universidad de Buenos Aires, Argentina, and one month at Rice University in Houston, USA (International Doctorate Mention).</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9. Student: </w:t>
      </w:r>
      <w:r>
        <w:rPr>
          <w:rFonts w:eastAsia="Times New Roman" w:cs="Times New Roman" w:ascii="Times New Roman" w:hAnsi="Times New Roman"/>
          <w:b/>
          <w:bCs/>
        </w:rPr>
        <w:t>Daniel Vaquero Monte</w:t>
      </w:r>
      <w:r>
        <w:rPr>
          <w:rFonts w:eastAsia="Times New Roman" w:cs="Times New Roman" w:ascii="Times New Roman" w:hAnsi="Times New Roman"/>
        </w:rPr>
        <w:t xml:space="preserve"> (USAL) Supervisors: E. Diez (SP2) and J. Quereda (ICMM, CSIC). Title: </w:t>
      </w:r>
      <w:r>
        <w:rPr>
          <w:rFonts w:eastAsia="Times New Roman" w:cs="Times New Roman" w:ascii="Times New Roman" w:hAnsi="Times New Roman"/>
          <w:color w:val="0000FF"/>
        </w:rPr>
        <w:t>Magnetotransport and photocurrent spectroscopy in 2D materials</w:t>
      </w:r>
      <w:r>
        <w:rPr>
          <w:rFonts w:eastAsia="Times New Roman" w:cs="Times New Roman" w:ascii="Times New Roman" w:hAnsi="Times New Roman"/>
        </w:rPr>
        <w:t>. Defended in 2024 with 11 papers in peer reviewed journals. The student held a FPU grant and stayed at University of Groningen, The Netherlands (International Doctorate Mention). Extraordinary doctorate award by USAL.</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10. Student: </w:t>
      </w:r>
      <w:r>
        <w:rPr>
          <w:rFonts w:eastAsia="Times New Roman" w:cs="Times New Roman" w:ascii="Times New Roman" w:hAnsi="Times New Roman"/>
          <w:b/>
          <w:bCs/>
        </w:rPr>
        <w:t>Enrique Benito Matías</w:t>
      </w:r>
      <w:r>
        <w:rPr>
          <w:rFonts w:eastAsia="Times New Roman" w:cs="Times New Roman" w:ascii="Times New Roman" w:hAnsi="Times New Roman"/>
        </w:rPr>
        <w:t xml:space="preserve"> (UCM). Supervisors: R. Molina (SP1). Title: </w:t>
      </w:r>
      <w:r>
        <w:rPr>
          <w:rFonts w:eastAsia="Times New Roman" w:cs="Times New Roman" w:ascii="Times New Roman" w:hAnsi="Times New Roman"/>
          <w:color w:val="0000FF"/>
        </w:rPr>
        <w:t>Two problems in single particle quantum transport: Dynamic localization and topological semimetals</w:t>
      </w:r>
      <w:r>
        <w:rPr>
          <w:rFonts w:eastAsia="Times New Roman" w:cs="Times New Roman" w:ascii="Times New Roman" w:hAnsi="Times New Roman"/>
        </w:rPr>
        <w:t>. Defended in 2023 with 4 papers in peer reviewed journals.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11. Student:</w:t>
      </w:r>
      <w:r>
        <w:rPr>
          <w:rFonts w:eastAsia="Times New Roman" w:cs="Times New Roman" w:ascii="Times New Roman" w:hAnsi="Times New Roman"/>
          <w:b/>
          <w:bCs/>
        </w:rPr>
        <w:t xml:space="preserve"> Carlos Ernesto Rojas Leiva</w:t>
      </w:r>
      <w:r>
        <w:rPr>
          <w:rFonts w:eastAsia="Times New Roman" w:cs="Times New Roman" w:ascii="Times New Roman" w:hAnsi="Times New Roman"/>
        </w:rPr>
        <w:t xml:space="preserve">. (Universidad Técnica Federico Santa María, Chile). Supervisors: P. Orellana and L. Chico (SP1). Title: </w:t>
      </w:r>
      <w:r>
        <w:rPr>
          <w:rFonts w:eastAsia="Times New Roman" w:cs="Times New Roman" w:ascii="Times New Roman" w:hAnsi="Times New Roman"/>
          <w:color w:val="0000FF"/>
        </w:rPr>
        <w:t>Propiedades de transporte en anillos de carbono.</w:t>
      </w:r>
      <w:r>
        <w:rPr>
          <w:rFonts w:eastAsia="Times New Roman" w:cs="Times New Roman" w:ascii="Times New Roman" w:hAnsi="Times New Roman"/>
        </w:rPr>
        <w:t xml:space="preserve"> Defended in 2023 with 2 papers published in peer-reviewed journals.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12. Student: </w:t>
      </w:r>
      <w:r>
        <w:rPr>
          <w:rFonts w:eastAsia="Times New Roman" w:cs="Times New Roman" w:ascii="Times New Roman" w:hAnsi="Times New Roman"/>
          <w:b/>
          <w:bCs/>
        </w:rPr>
        <w:t>Yuriko Caterina Baba</w:t>
      </w:r>
      <w:r>
        <w:rPr>
          <w:rFonts w:eastAsia="Times New Roman" w:cs="Times New Roman" w:ascii="Times New Roman" w:hAnsi="Times New Roman"/>
        </w:rPr>
        <w:t xml:space="preserve"> (UCM). Supervisors: R. Molina (SP1) and F. Domínguez-Adame (SP1). Title: </w:t>
      </w:r>
      <w:r>
        <w:rPr>
          <w:rFonts w:eastAsia="Times New Roman" w:cs="Times New Roman" w:ascii="Times New Roman" w:hAnsi="Times New Roman"/>
          <w:color w:val="0000FF"/>
        </w:rPr>
        <w:t>Quantum transport in Dirac materials under external fields and disorder</w:t>
      </w:r>
      <w:r>
        <w:rPr>
          <w:rFonts w:eastAsia="Times New Roman" w:cs="Times New Roman" w:ascii="Times New Roman" w:hAnsi="Times New Roman"/>
        </w:rPr>
        <w:t>. Defended in 2023 with 9 papers in peer reviewed journals. The student held a FPU grant and stayed three months at University of Regensburg, Germany (International Doctorate Mention).</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13. Student: </w:t>
      </w:r>
      <w:r>
        <w:rPr>
          <w:rFonts w:eastAsia="Times New Roman" w:cs="Times New Roman" w:ascii="Times New Roman" w:hAnsi="Times New Roman"/>
          <w:b/>
          <w:bCs/>
        </w:rPr>
        <w:t>Olga Arroyo Gascón</w:t>
      </w:r>
      <w:r>
        <w:rPr>
          <w:rFonts w:eastAsia="Times New Roman" w:cs="Times New Roman" w:ascii="Times New Roman" w:hAnsi="Times New Roman"/>
        </w:rPr>
        <w:t xml:space="preserve"> (UCM). Supervisor: L. Chico (SP1). Title: </w:t>
      </w:r>
      <w:r>
        <w:rPr>
          <w:rFonts w:eastAsia="Times New Roman" w:cs="Times New Roman" w:ascii="Times New Roman" w:hAnsi="Times New Roman"/>
          <w:color w:val="0000FF"/>
        </w:rPr>
        <w:t>Emergent states in topological and Dirac matter</w:t>
      </w:r>
      <w:r>
        <w:rPr>
          <w:rFonts w:eastAsia="Times New Roman" w:cs="Times New Roman" w:ascii="Times New Roman" w:hAnsi="Times New Roman"/>
        </w:rPr>
        <w:t xml:space="preserve">. Defended in 2024 with 6 papers published in peer reviewed journals. The student held a FPI grant and stayed three months at Universidad Técnica Federico Santa María, Chile (International Doctorate Mention). Thesis selected for the Series Recognizing Outstanding Ph.D. Research by Springer in 2024. Awarded by GEFES (Grupo Especializado de Física del Estado Sólido, Real Sociedad Española de Física) as the best Theoretical PhD Thesis in the </w:t>
      </w:r>
      <w:hyperlink r:id="rId15">
        <w:r>
          <w:rPr>
            <w:rStyle w:val="Style3"/>
            <w:rFonts w:eastAsia="Times New Roman" w:cs="Times New Roman" w:ascii="Times New Roman" w:hAnsi="Times New Roman"/>
            <w:color w:val="1155CC"/>
            <w:u w:val="single"/>
          </w:rPr>
          <w:t>XII Edition</w:t>
        </w:r>
      </w:hyperlink>
      <w:r>
        <w:rPr>
          <w:rFonts w:eastAsia="Times New Roman" w:cs="Times New Roman" w:ascii="Times New Roman" w:hAnsi="Times New Roman"/>
        </w:rPr>
        <w:t>.</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14. Student: </w:t>
      </w:r>
      <w:r>
        <w:rPr>
          <w:rFonts w:eastAsia="Times New Roman" w:cs="Times New Roman" w:ascii="Times New Roman" w:hAnsi="Times New Roman"/>
          <w:b/>
          <w:bCs/>
        </w:rPr>
        <w:t>Juan Salvador Sánchez</w:t>
      </w:r>
      <w:r>
        <w:rPr>
          <w:rFonts w:eastAsia="Times New Roman" w:cs="Times New Roman" w:ascii="Times New Roman" w:hAnsi="Times New Roman"/>
        </w:rPr>
        <w:t xml:space="preserve"> (USAL). Supervisors: E. Diez (SP2) and M. Amado (SP2). Title: </w:t>
      </w:r>
      <w:r>
        <w:rPr>
          <w:rFonts w:eastAsia="Times New Roman" w:cs="Times New Roman" w:ascii="Times New Roman" w:hAnsi="Times New Roman"/>
          <w:color w:val="0000FF"/>
        </w:rPr>
        <w:t>Nanodevices based on twisted 2D materials and exotic geometries</w:t>
      </w:r>
      <w:r>
        <w:rPr>
          <w:rFonts w:eastAsia="Times New Roman" w:cs="Times New Roman" w:ascii="Times New Roman" w:hAnsi="Times New Roman"/>
        </w:rPr>
        <w:t xml:space="preserve">. Defended in 2024 with 11 papers published in peer reviewed journals. The student held a USAL PhD grant and stayed three months at University of New South Wales, Australia (International Doctorate Mention). Awarded by </w:t>
      </w:r>
      <w:hyperlink r:id="rId16">
        <w:r>
          <w:rPr>
            <w:rStyle w:val="Style3"/>
            <w:rFonts w:eastAsia="Times New Roman" w:cs="Times New Roman" w:ascii="Times New Roman" w:hAnsi="Times New Roman"/>
            <w:color w:val="1155CC"/>
            <w:u w:val="single"/>
          </w:rPr>
          <w:t>Nanolito</w:t>
        </w:r>
      </w:hyperlink>
      <w:r>
        <w:rPr>
          <w:rFonts w:eastAsia="Times New Roman" w:cs="Times New Roman" w:ascii="Times New Roman" w:hAnsi="Times New Roman"/>
        </w:rPr>
        <w:t xml:space="preserve"> (Spanish Network of Nanolithography) as the best PhD Thesis of 2024.</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15. Student: </w:t>
      </w:r>
      <w:r>
        <w:rPr>
          <w:rFonts w:eastAsia="Times New Roman" w:cs="Times New Roman" w:ascii="Times New Roman" w:hAnsi="Times New Roman"/>
          <w:b/>
          <w:bCs/>
        </w:rPr>
        <w:t>Ángel López Corps</w:t>
      </w:r>
      <w:r>
        <w:rPr>
          <w:rFonts w:eastAsia="Times New Roman" w:cs="Times New Roman" w:ascii="Times New Roman" w:hAnsi="Times New Roman"/>
        </w:rPr>
        <w:t xml:space="preserve"> (UAM). Supervisors: A. Relaño (SP1) and R. Molina (SP1). Title: </w:t>
      </w:r>
      <w:r>
        <w:rPr>
          <w:rFonts w:eastAsia="Times New Roman" w:cs="Times New Roman" w:ascii="Times New Roman" w:hAnsi="Times New Roman"/>
          <w:color w:val="0000FF"/>
        </w:rPr>
        <w:t>Chaos and thermalization in collective and strongly correlated quantum systems</w:t>
      </w:r>
      <w:r>
        <w:rPr>
          <w:rFonts w:eastAsia="Times New Roman" w:cs="Times New Roman" w:ascii="Times New Roman" w:hAnsi="Times New Roman"/>
        </w:rPr>
        <w:t>. Defended in 2024 with 8 papers published in peer reviewed journals. The student held a La Caixa PhD grant.</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16. Student:</w:t>
      </w:r>
      <w:r>
        <w:rPr>
          <w:rFonts w:eastAsia="Times New Roman" w:cs="Times New Roman" w:ascii="Times New Roman" w:hAnsi="Times New Roman"/>
          <w:b/>
          <w:bCs/>
        </w:rPr>
        <w:t xml:space="preserve"> Alexis Legón Oropeza</w:t>
      </w:r>
      <w:r>
        <w:rPr>
          <w:rFonts w:eastAsia="Times New Roman" w:cs="Times New Roman" w:ascii="Times New Roman" w:hAnsi="Times New Roman"/>
        </w:rPr>
        <w:t xml:space="preserve"> </w:t>
      </w:r>
      <w:r>
        <w:rPr>
          <w:rFonts w:eastAsia="Times New Roman" w:cs="Times New Roman" w:ascii="Times New Roman" w:hAnsi="Times New Roman"/>
          <w:b/>
          <w:bCs/>
        </w:rPr>
        <w:t xml:space="preserve"> </w:t>
      </w:r>
      <w:r>
        <w:rPr>
          <w:rFonts w:eastAsia="Times New Roman" w:cs="Times New Roman" w:ascii="Times New Roman" w:hAnsi="Times New Roman"/>
        </w:rPr>
        <w:t xml:space="preserve">(Universidad Técnica Federico Santa María). Supervisors: P. Orellana (Universidad Técnica Federico Santa María, Chile) and R. Molina (SP1). Title: </w:t>
      </w:r>
      <w:r>
        <w:rPr>
          <w:rFonts w:eastAsia="Times New Roman" w:cs="Times New Roman" w:ascii="Times New Roman" w:hAnsi="Times New Roman"/>
          <w:color w:val="0000FF"/>
        </w:rPr>
        <w:t>Transmisión y almacenamiento de información cuántica en guías de onda fotónicas.</w:t>
      </w:r>
      <w:r>
        <w:rPr>
          <w:rFonts w:eastAsia="Times New Roman" w:cs="Times New Roman" w:ascii="Times New Roman" w:hAnsi="Times New Roman"/>
        </w:rPr>
        <w:t xml:space="preserve"> Defended in 2025 with 4 papers published in peer reviewed journals. The student held a Chilean PhD grant and an international Spanish-Chilean travel grant.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i/>
          <w:iCs/>
        </w:rPr>
        <w:t>Ongoing PhD Theses</w:t>
      </w:r>
      <w:r>
        <w:rPr>
          <w:rFonts w:eastAsia="Times New Roman" w:cs="Times New Roman" w:ascii="Times New Roman" w:hAnsi="Times New Roman"/>
        </w:rPr>
        <w:t xml:space="preserve">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17. Student: </w:t>
      </w:r>
      <w:r>
        <w:rPr>
          <w:rFonts w:eastAsia="Times New Roman" w:cs="Times New Roman" w:ascii="Times New Roman" w:hAnsi="Times New Roman"/>
          <w:b/>
          <w:bCs/>
        </w:rPr>
        <w:t>Pablo Moles Matías</w:t>
      </w:r>
      <w:r>
        <w:rPr>
          <w:rFonts w:eastAsia="Times New Roman" w:cs="Times New Roman" w:ascii="Times New Roman" w:hAnsi="Times New Roman"/>
        </w:rPr>
        <w:t xml:space="preserve"> (UCM). Supervisors: L. Chico (SP1) and F. Domínguez-Adame (SP1). Tentative title: </w:t>
      </w:r>
      <w:r>
        <w:rPr>
          <w:rFonts w:eastAsia="Times New Roman" w:cs="Times New Roman" w:ascii="Times New Roman" w:hAnsi="Times New Roman"/>
          <w:color w:val="0000FF"/>
        </w:rPr>
        <w:t>Charge and heat transport in nanostructures based on twisted materials</w:t>
      </w:r>
      <w:r>
        <w:rPr>
          <w:rFonts w:eastAsia="Times New Roman" w:cs="Times New Roman" w:ascii="Times New Roman" w:hAnsi="Times New Roman"/>
        </w:rPr>
        <w:t>. Started September 2022 and 2 published papers in peer reviewed journals until now. The student holds a project contract and stayed three months at Dublin City University, Ireland (International Doctorate Mention).</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18. Student: </w:t>
      </w:r>
      <w:r>
        <w:rPr>
          <w:rFonts w:eastAsia="Times New Roman" w:cs="Times New Roman" w:ascii="Times New Roman" w:hAnsi="Times New Roman"/>
          <w:b/>
          <w:bCs/>
        </w:rPr>
        <w:t>Dunkan Martínez Camacho</w:t>
      </w:r>
      <w:r>
        <w:rPr>
          <w:rFonts w:eastAsia="Times New Roman" w:cs="Times New Roman" w:ascii="Times New Roman" w:hAnsi="Times New Roman"/>
        </w:rPr>
        <w:t xml:space="preserve"> (UCM). Supervisors: F. Domínguez-Adame (SP1) and P. Orellana (Universidad Técnica Federico Santa María, Chile). Tentative title: </w:t>
      </w:r>
      <w:r>
        <w:rPr>
          <w:rFonts w:eastAsia="Times New Roman" w:cs="Times New Roman" w:ascii="Times New Roman" w:hAnsi="Times New Roman"/>
          <w:color w:val="0000FF"/>
        </w:rPr>
        <w:t>Manipulation and robustness of topological insulators and superconductors</w:t>
      </w:r>
      <w:r>
        <w:rPr>
          <w:rFonts w:eastAsia="Times New Roman" w:cs="Times New Roman" w:ascii="Times New Roman" w:hAnsi="Times New Roman"/>
        </w:rPr>
        <w:t>. Started September 2022 and 7 published papers in peer reviewed journals until now. The student holds a Comunidad de Madrid PhD grant and stayed one month at Universidad Técnica Federico Santa María, Chile, and two months at University of Warwick, United Kingdom (International Doctorate Mention).</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19. Student: </w:t>
      </w:r>
      <w:r>
        <w:rPr>
          <w:rFonts w:eastAsia="Times New Roman" w:cs="Times New Roman" w:ascii="Times New Roman" w:hAnsi="Times New Roman"/>
          <w:b/>
          <w:bCs/>
        </w:rPr>
        <w:t>Lucas Lopes Lage</w:t>
      </w:r>
      <w:r>
        <w:rPr>
          <w:rFonts w:eastAsia="Times New Roman" w:cs="Times New Roman" w:ascii="Times New Roman" w:hAnsi="Times New Roman"/>
        </w:rPr>
        <w:t xml:space="preserve"> (Universidade Federal Fluminense (UFF), Niterói, Brazil). Supervisors: Andrea Latgé (UFF) and L. Chico (SP1). Tentative title: </w:t>
      </w:r>
      <w:r>
        <w:rPr>
          <w:rFonts w:eastAsia="Times New Roman" w:cs="Times New Roman" w:ascii="Times New Roman" w:hAnsi="Times New Roman"/>
          <w:color w:val="0000FF"/>
        </w:rPr>
        <w:t>Topological phases in periodic and finite systems: From integer to fractional dimensions</w:t>
      </w:r>
      <w:r>
        <w:rPr>
          <w:rFonts w:eastAsia="Times New Roman" w:cs="Times New Roman" w:ascii="Times New Roman" w:hAnsi="Times New Roman"/>
        </w:rPr>
        <w:t xml:space="preserve">. Started September 2020, defense planned for 2026. He has published 5 papers in peer-reviewed journals until now. The student has financial support from UFF. </w:t>
      </w:r>
      <w:r>
        <w:rPr>
          <w:rFonts w:eastAsia="Times New Roman" w:cs="Times New Roman" w:ascii="Times New Roman" w:hAnsi="Times New Roman"/>
          <w:sz w:val="24"/>
          <w:szCs w:val="24"/>
        </w:rPr>
        <w:t xml:space="preserve">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20. Student: </w:t>
      </w:r>
      <w:r>
        <w:rPr>
          <w:rFonts w:eastAsia="Times New Roman" w:cs="Times New Roman" w:ascii="Times New Roman" w:hAnsi="Times New Roman"/>
          <w:b/>
          <w:bCs/>
        </w:rPr>
        <w:t>Pedro Alcázar Ruano</w:t>
      </w:r>
      <w:r>
        <w:rPr>
          <w:rFonts w:eastAsia="Times New Roman" w:cs="Times New Roman" w:ascii="Times New Roman" w:hAnsi="Times New Roman"/>
        </w:rPr>
        <w:t xml:space="preserve"> (UCM). Supervisors: F. Domínguez-Adame (SP1) and J. Quereda (ICMM, CSIC). Tentative title: </w:t>
      </w:r>
      <w:r>
        <w:rPr>
          <w:rFonts w:eastAsia="Times New Roman" w:cs="Times New Roman" w:ascii="Times New Roman" w:hAnsi="Times New Roman"/>
          <w:color w:val="0000FF"/>
        </w:rPr>
        <w:t>Symmetry engineering for the control and manipulation of two-dimensional optoelectronic devices</w:t>
      </w:r>
      <w:r>
        <w:rPr>
          <w:rFonts w:eastAsia="Times New Roman" w:cs="Times New Roman" w:ascii="Times New Roman" w:hAnsi="Times New Roman"/>
        </w:rPr>
        <w:t>. Started September 2022 and 4 published papers in peer reviewed journals until now. The student holds a UCM PhD grant.</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21. Student: </w:t>
      </w:r>
      <w:r>
        <w:rPr>
          <w:rFonts w:eastAsia="Times New Roman" w:cs="Times New Roman" w:ascii="Times New Roman" w:hAnsi="Times New Roman"/>
          <w:b/>
          <w:bCs/>
        </w:rPr>
        <w:t>Jorge Estrada Álvarez</w:t>
      </w:r>
      <w:r>
        <w:rPr>
          <w:rFonts w:eastAsia="Times New Roman" w:cs="Times New Roman" w:ascii="Times New Roman" w:hAnsi="Times New Roman"/>
        </w:rPr>
        <w:t xml:space="preserve"> (UCM). Supervisors: E. Díaz and F. Domínguez-Adame. Tentative title: </w:t>
      </w:r>
      <w:r>
        <w:rPr>
          <w:rFonts w:eastAsia="Times New Roman" w:cs="Times New Roman" w:ascii="Times New Roman" w:hAnsi="Times New Roman"/>
          <w:color w:val="0000FF"/>
        </w:rPr>
        <w:t>Effects of geometry on viscous electron flow in two-dimensional materials</w:t>
      </w:r>
      <w:r>
        <w:rPr>
          <w:rFonts w:eastAsia="Times New Roman" w:cs="Times New Roman" w:ascii="Times New Roman" w:hAnsi="Times New Roman"/>
        </w:rPr>
        <w:t xml:space="preserve">. Started September 2022 and 7 published papers in peer reviewed journals until now. The student holds a FPU grant and stayed three months at ETH Zurich, Switzerland (International Doctorate Mention).  </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22. Student: </w:t>
      </w:r>
      <w:r>
        <w:rPr>
          <w:rFonts w:eastAsia="Times New Roman" w:cs="Times New Roman" w:ascii="Times New Roman" w:hAnsi="Times New Roman"/>
          <w:b/>
          <w:bCs/>
        </w:rPr>
        <w:t>Marta García Olmos</w:t>
      </w:r>
      <w:r>
        <w:rPr>
          <w:rFonts w:eastAsia="Times New Roman" w:cs="Times New Roman" w:ascii="Times New Roman" w:hAnsi="Times New Roman"/>
        </w:rPr>
        <w:t xml:space="preserve"> (USAL). Supervisors: M. Amado (SP2) and R. Molina (SP1). Tentative title: </w:t>
      </w:r>
      <w:r>
        <w:rPr>
          <w:rFonts w:eastAsia="Times New Roman" w:cs="Times New Roman" w:ascii="Times New Roman" w:hAnsi="Times New Roman"/>
          <w:color w:val="0000FF"/>
        </w:rPr>
        <w:t>Topology and quantum transport in semi-Dirac materials</w:t>
      </w:r>
      <w:r>
        <w:rPr>
          <w:rFonts w:eastAsia="Times New Roman" w:cs="Times New Roman" w:ascii="Times New Roman" w:hAnsi="Times New Roman"/>
        </w:rPr>
        <w:t>. Started January 2023 and 2 published papers in peer reviewed journals until now. The student holds a Junta de Castilla y León grant and stayed three months at University of Regensburg, Germany (International Doctorate Mention).</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23. Student: </w:t>
      </w:r>
      <w:r>
        <w:rPr>
          <w:rFonts w:eastAsia="Times New Roman" w:cs="Times New Roman" w:ascii="Times New Roman" w:hAnsi="Times New Roman"/>
          <w:b/>
          <w:bCs/>
        </w:rPr>
        <w:t>Pablo Canteli Morales</w:t>
      </w:r>
      <w:r>
        <w:rPr>
          <w:rFonts w:eastAsia="Times New Roman" w:cs="Times New Roman" w:ascii="Times New Roman" w:hAnsi="Times New Roman"/>
        </w:rPr>
        <w:t xml:space="preserve"> (USAL). Supervisor: M. Amado (SP2). Tentative title: </w:t>
      </w:r>
      <w:r>
        <w:rPr>
          <w:rFonts w:eastAsia="Times New Roman" w:cs="Times New Roman" w:ascii="Times New Roman" w:hAnsi="Times New Roman"/>
          <w:color w:val="0000FF"/>
        </w:rPr>
        <w:t>Geometry-controlled 2D heterostructures: From fundamental physics to functional applications</w:t>
      </w:r>
      <w:r>
        <w:rPr>
          <w:rFonts w:eastAsia="Times New Roman" w:cs="Times New Roman" w:ascii="Times New Roman" w:hAnsi="Times New Roman"/>
        </w:rPr>
        <w:t>.  Started November 2025. The student holds a FPU grant.</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numPr>
          <w:ilvl w:val="1"/>
          <w:numId w:val="1"/>
        </w:numPr>
        <w:pBdr/>
        <w:spacing w:lineRule="auto" w:line="240" w:before="0" w:after="0"/>
        <w:jc w:val="both"/>
        <w:rPr>
          <w:rFonts w:ascii="Times New Roman" w:hAnsi="Times New Roman" w:eastAsia="Times New Roman" w:cs="Times New Roman"/>
          <w:b/>
          <w:bCs/>
          <w:color w:val="000000"/>
        </w:rPr>
      </w:pPr>
      <w:r>
        <w:rPr>
          <w:rFonts w:eastAsia="Times New Roman" w:cs="Times New Roman" w:ascii="Times New Roman" w:hAnsi="Times New Roman"/>
          <w:b/>
          <w:bCs/>
          <w:i/>
          <w:iCs/>
          <w:color w:val="000000"/>
        </w:rPr>
        <w:t>S</w:t>
      </w:r>
      <w:r>
        <w:rPr>
          <w:rFonts w:eastAsia="Times New Roman" w:cs="Times New Roman" w:ascii="Times New Roman" w:hAnsi="Times New Roman"/>
          <w:b/>
          <w:bCs/>
          <w:color w:val="000000"/>
        </w:rPr>
        <w:t>cientific or professional development of graduate doctors.</w:t>
      </w:r>
    </w:p>
    <w:p>
      <w:pPr>
        <w:pStyle w:val="Normal"/>
        <w:spacing w:lineRule="auto" w:line="240" w:before="0" w:after="0"/>
        <w:jc w:val="both"/>
        <w:rPr>
          <w:rFonts w:ascii="Times New Roman" w:hAnsi="Times New Roman" w:eastAsia="Times New Roman" w:cs="Times New Roman"/>
          <w:color w:val="000000"/>
        </w:rPr>
      </w:pPr>
      <w:r>
        <w:rPr>
          <w:rFonts w:eastAsia="Times New Roman" w:cs="Times New Roman" w:ascii="Times New Roman" w:hAnsi="Times New Roman"/>
          <w:color w:val="000000"/>
        </w:rPr>
      </w:r>
    </w:p>
    <w:p>
      <w:pPr>
        <w:pStyle w:val="Normal"/>
        <w:numPr>
          <w:ilvl w:val="0"/>
          <w:numId w:val="3"/>
        </w:numPr>
        <w:spacing w:lineRule="auto" w:line="240" w:before="0" w:after="0"/>
        <w:jc w:val="both"/>
        <w:rPr>
          <w:rFonts w:ascii="Times New Roman" w:hAnsi="Times New Roman" w:eastAsia="Times New Roman" w:cs="Times New Roman"/>
          <w:color w:val="000000"/>
        </w:rPr>
      </w:pPr>
      <w:r>
        <w:rPr>
          <w:rFonts w:eastAsia="Times New Roman" w:cs="Times New Roman" w:ascii="Times New Roman" w:hAnsi="Times New Roman"/>
          <w:color w:val="000000"/>
        </w:rPr>
        <w:t xml:space="preserve">Cristina Sardón Muñoz: </w:t>
      </w:r>
      <w:r>
        <w:rPr>
          <w:rFonts w:eastAsia="Times New Roman" w:cs="Times New Roman" w:ascii="Times New Roman" w:hAnsi="Times New Roman"/>
        </w:rPr>
        <w:t>Associate</w:t>
      </w:r>
      <w:r>
        <w:rPr>
          <w:rFonts w:eastAsia="Times New Roman" w:cs="Times New Roman" w:ascii="Times New Roman" w:hAnsi="Times New Roman"/>
          <w:color w:val="000000"/>
        </w:rPr>
        <w:t xml:space="preserve"> Professor at ETSI Industriales, UPM. </w:t>
      </w:r>
      <w:r>
        <w:rPr>
          <w:rFonts w:eastAsia="Times New Roman" w:cs="Times New Roman" w:ascii="Times New Roman" w:hAnsi="Times New Roman"/>
        </w:rPr>
        <w:t>Accredited</w:t>
      </w:r>
      <w:r>
        <w:rPr>
          <w:rFonts w:eastAsia="Times New Roman" w:cs="Times New Roman" w:ascii="Times New Roman" w:hAnsi="Times New Roman"/>
          <w:color w:val="000000"/>
        </w:rPr>
        <w:t xml:space="preserve"> as Te</w:t>
      </w:r>
      <w:r>
        <w:rPr>
          <w:rFonts w:eastAsia="Times New Roman" w:cs="Times New Roman" w:ascii="Times New Roman" w:hAnsi="Times New Roman"/>
        </w:rPr>
        <w:t>nured Professor.</w:t>
      </w:r>
    </w:p>
    <w:p>
      <w:pPr>
        <w:pStyle w:val="Normal"/>
        <w:numPr>
          <w:ilvl w:val="0"/>
          <w:numId w:val="3"/>
        </w:numPr>
        <w:spacing w:lineRule="auto" w:line="240" w:before="0" w:after="0"/>
        <w:jc w:val="both"/>
        <w:rPr>
          <w:rFonts w:ascii="Times New Roman" w:hAnsi="Times New Roman" w:eastAsia="Times New Roman" w:cs="Times New Roman"/>
          <w:color w:val="000000"/>
        </w:rPr>
      </w:pPr>
      <w:r>
        <w:rPr>
          <w:rFonts w:eastAsia="Times New Roman" w:cs="Times New Roman" w:ascii="Times New Roman" w:hAnsi="Times New Roman"/>
          <w:color w:val="000000"/>
        </w:rPr>
        <w:t>Marta Saiz Bretín: Formerly analyst in BBVA and currently high school teacher.</w:t>
      </w:r>
    </w:p>
    <w:p>
      <w:pPr>
        <w:pStyle w:val="Normal"/>
        <w:numPr>
          <w:ilvl w:val="0"/>
          <w:numId w:val="3"/>
        </w:numPr>
        <w:spacing w:lineRule="auto" w:line="240" w:before="0" w:after="0"/>
        <w:jc w:val="both"/>
        <w:rPr>
          <w:rFonts w:ascii="Times New Roman" w:hAnsi="Times New Roman" w:eastAsia="Times New Roman" w:cs="Times New Roman"/>
          <w:color w:val="000000"/>
        </w:rPr>
      </w:pPr>
      <w:r>
        <w:rPr>
          <w:rFonts w:eastAsia="Times New Roman" w:cs="Times New Roman" w:ascii="Times New Roman" w:hAnsi="Times New Roman"/>
          <w:color w:val="000000"/>
        </w:rPr>
        <w:t>Álvaro Díaz Fernández: Quantum Scientist Manager – BBVA, Mexico.</w:t>
      </w:r>
    </w:p>
    <w:p>
      <w:pPr>
        <w:pStyle w:val="Normal"/>
        <w:numPr>
          <w:ilvl w:val="0"/>
          <w:numId w:val="3"/>
        </w:numP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color w:val="000000"/>
        </w:rPr>
        <w:t xml:space="preserve">Vito Clericò: Head of Technical Staff at Clean-Room, </w:t>
      </w:r>
      <w:r>
        <w:rPr>
          <w:rFonts w:eastAsia="Times New Roman" w:cs="Times New Roman" w:ascii="Times New Roman" w:hAnsi="Times New Roman"/>
        </w:rPr>
        <w:t>USAL.</w:t>
      </w:r>
    </w:p>
    <w:p>
      <w:pPr>
        <w:pStyle w:val="Normal"/>
        <w:numPr>
          <w:ilvl w:val="0"/>
          <w:numId w:val="3"/>
        </w:numP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Cristina Hernández Fuentevilla: Tenured Professor (</w:t>
      </w:r>
      <w:r>
        <w:rPr>
          <w:rFonts w:eastAsia="Times New Roman" w:cs="Times New Roman" w:ascii="Times New Roman" w:hAnsi="Times New Roman"/>
          <w:i/>
          <w:iCs/>
        </w:rPr>
        <w:t>Titular de Universidad</w:t>
      </w:r>
      <w:r>
        <w:rPr>
          <w:rFonts w:eastAsia="Times New Roman" w:cs="Times New Roman" w:ascii="Times New Roman" w:hAnsi="Times New Roman"/>
        </w:rPr>
        <w:t>) at USAL.</w:t>
      </w:r>
      <w:r>
        <w:rPr>
          <w:rFonts w:eastAsia="Times New Roman" w:cs="Times New Roman" w:ascii="Times New Roman" w:hAnsi="Times New Roman"/>
          <w:color w:val="000000"/>
        </w:rPr>
        <w:t xml:space="preserve"> </w:t>
      </w:r>
    </w:p>
    <w:p>
      <w:pPr>
        <w:pStyle w:val="Normal"/>
        <w:numPr>
          <w:ilvl w:val="0"/>
          <w:numId w:val="3"/>
        </w:numP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Sergio Bravo Castillo. Postdoctoral researcher at Universidad Técnica Federico Santa María, Santiago, Chile.</w:t>
      </w:r>
    </w:p>
    <w:p>
      <w:pPr>
        <w:pStyle w:val="Normal"/>
        <w:numPr>
          <w:ilvl w:val="0"/>
          <w:numId w:val="3"/>
        </w:numP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color w:val="000000"/>
        </w:rPr>
        <w:t xml:space="preserve">Paz Albares Vicente: </w:t>
      </w:r>
      <w:r>
        <w:rPr>
          <w:rFonts w:eastAsia="Times New Roman" w:cs="Times New Roman" w:ascii="Times New Roman" w:hAnsi="Times New Roman"/>
        </w:rPr>
        <w:t>Assistant Professor at ETSI Industriales, UPM.</w:t>
      </w:r>
    </w:p>
    <w:p>
      <w:pPr>
        <w:pStyle w:val="Normal"/>
        <w:numPr>
          <w:ilvl w:val="0"/>
          <w:numId w:val="3"/>
        </w:numP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color w:val="000000"/>
        </w:rPr>
        <w:t>Álvaro Rubio</w:t>
      </w:r>
      <w:r>
        <w:rPr>
          <w:rFonts w:eastAsia="Times New Roman" w:cs="Times New Roman" w:ascii="Times New Roman" w:hAnsi="Times New Roman"/>
        </w:rPr>
        <w:t xml:space="preserve"> </w:t>
      </w:r>
      <w:r>
        <w:rPr>
          <w:rFonts w:eastAsia="Times New Roman" w:cs="Times New Roman" w:ascii="Times New Roman" w:hAnsi="Times New Roman"/>
          <w:color w:val="000000"/>
        </w:rPr>
        <w:t xml:space="preserve">García: </w:t>
      </w:r>
      <w:r>
        <w:rPr>
          <w:rFonts w:eastAsia="Times New Roman" w:cs="Times New Roman" w:ascii="Times New Roman" w:hAnsi="Times New Roman"/>
        </w:rPr>
        <w:t>Head of algorithms at InspirationQ, CSIC Startup</w:t>
      </w:r>
      <w:r>
        <w:rPr>
          <w:rFonts w:eastAsia="Times New Roman" w:cs="Times New Roman" w:ascii="Times New Roman" w:hAnsi="Times New Roman"/>
          <w:color w:val="000000"/>
        </w:rPr>
        <w:t>.</w:t>
      </w:r>
    </w:p>
    <w:p>
      <w:pPr>
        <w:pStyle w:val="Normal"/>
        <w:numPr>
          <w:ilvl w:val="0"/>
          <w:numId w:val="3"/>
        </w:numP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Daniel Vaquero Monte: Postdoctoral researcher at University of Gröningen, The Netherlands.</w:t>
      </w:r>
    </w:p>
    <w:p>
      <w:pPr>
        <w:pStyle w:val="Normal"/>
        <w:numPr>
          <w:ilvl w:val="0"/>
          <w:numId w:val="3"/>
        </w:numP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Enrique Benito García: Assistant Professor at Universidad Juan Carlos I, Madrid.</w:t>
      </w:r>
    </w:p>
    <w:p>
      <w:pPr>
        <w:pStyle w:val="Normal"/>
        <w:numPr>
          <w:ilvl w:val="0"/>
          <w:numId w:val="3"/>
        </w:numP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Carlos Ernesto Rojas Leiva. Teaching Assistant at Universidad Técnica Federico Santa María, Chile.</w:t>
      </w:r>
    </w:p>
    <w:p>
      <w:pPr>
        <w:pStyle w:val="Normal"/>
        <w:numPr>
          <w:ilvl w:val="0"/>
          <w:numId w:val="3"/>
        </w:numP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Yuriko Caterina Baba: Researcher at IEM, CSIC (Madrid).</w:t>
      </w:r>
    </w:p>
    <w:p>
      <w:pPr>
        <w:pStyle w:val="Normal"/>
        <w:numPr>
          <w:ilvl w:val="0"/>
          <w:numId w:val="3"/>
        </w:numP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Olga Arroyo Gascón: Postdoctoral researcher at Institut de Physique Théorique, Paris-Saclay, France.</w:t>
      </w:r>
    </w:p>
    <w:p>
      <w:pPr>
        <w:pStyle w:val="Normal"/>
        <w:numPr>
          <w:ilvl w:val="0"/>
          <w:numId w:val="3"/>
        </w:numP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Juan Salvador Sánchez: Postdoctoral researcher ERC Chiratronics at USAL.</w:t>
      </w:r>
    </w:p>
    <w:p>
      <w:pPr>
        <w:pStyle w:val="Normal"/>
        <w:numPr>
          <w:ilvl w:val="0"/>
          <w:numId w:val="3"/>
        </w:numP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Ángel López Corps: Postdoctoral researcher at Univerzita Karlova, Czech Republic.</w:t>
      </w:r>
    </w:p>
    <w:p>
      <w:pPr>
        <w:pStyle w:val="Normal"/>
        <w:numPr>
          <w:ilvl w:val="0"/>
          <w:numId w:val="3"/>
        </w:numPr>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Alexis Legón Oropeza, Teaching Assistant at Universidad Técnica Federico Santa María, Chile.</w:t>
      </w:r>
    </w:p>
    <w:p>
      <w:pPr>
        <w:pStyle w:val="Normal"/>
        <w:spacing w:lineRule="auto" w:line="240" w:before="0" w:after="0"/>
        <w:jc w:val="both"/>
        <w:rPr>
          <w:rFonts w:ascii="Times New Roman" w:hAnsi="Times New Roman" w:eastAsia="Times New Roman" w:cs="Times New Roman"/>
          <w:color w:val="000000"/>
        </w:rPr>
      </w:pPr>
      <w:r>
        <w:rPr>
          <w:rFonts w:eastAsia="Times New Roman" w:cs="Times New Roman" w:ascii="Times New Roman" w:hAnsi="Times New Roman"/>
          <w:color w:val="000000"/>
        </w:rPr>
      </w:r>
    </w:p>
    <w:p>
      <w:pPr>
        <w:pStyle w:val="Heading1"/>
        <w:numPr>
          <w:ilvl w:val="0"/>
          <w:numId w:val="1"/>
        </w:numPr>
        <w:spacing w:lineRule="auto" w:line="240" w:before="0" w:after="0"/>
        <w:ind w:hanging="426" w:left="426"/>
        <w:jc w:val="both"/>
        <w:rPr>
          <w:rFonts w:ascii="Times New Roman" w:hAnsi="Times New Roman" w:eastAsia="Times New Roman" w:cs="Times New Roman"/>
          <w:b/>
          <w:bCs/>
          <w:color w:val="000000"/>
          <w:sz w:val="22"/>
          <w:szCs w:val="22"/>
        </w:rPr>
      </w:pPr>
      <w:r>
        <w:rPr>
          <w:rFonts w:eastAsia="Times New Roman" w:cs="Times New Roman" w:ascii="Times New Roman" w:hAnsi="Times New Roman"/>
          <w:b/>
          <w:bCs/>
          <w:color w:val="000000"/>
          <w:sz w:val="22"/>
          <w:szCs w:val="22"/>
        </w:rPr>
        <w:t>SPECIFIC CONDITIONS FOR THE EXECUTION OF CERTAIN PROJECTS.</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Not applicable.</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ab/>
      </w:r>
    </w:p>
    <w:p>
      <w:pPr>
        <w:pStyle w:val="Normal"/>
        <w:spacing w:lineRule="auto" w:line="240" w:before="0" w:after="0"/>
        <w:jc w:val="both"/>
        <w:rPr>
          <w:rFonts w:ascii="Times New Roman" w:hAnsi="Times New Roman" w:eastAsia="Times New Roman" w:cs="Times New Roman"/>
        </w:rPr>
      </w:pPr>
      <w:r>
        <w:rPr/>
      </w:r>
    </w:p>
    <w:p>
      <w:pPr>
        <w:pStyle w:val="Normal"/>
        <w:spacing w:lineRule="auto" w:line="240" w:before="0" w:after="0"/>
        <w:jc w:val="both"/>
        <w:rPr>
          <w:rFonts w:ascii="Times New Roman" w:hAnsi="Times New Roman" w:eastAsia="Times New Roman" w:cs="Times New Roman"/>
        </w:rPr>
      </w:pPr>
      <w:r>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t xml:space="preserve"> </w:t>
      </w:r>
      <w:r>
        <w:rPr>
          <w:rFonts w:eastAsia="Times New Roman" w:cs="Times New Roman" w:ascii="Times New Roman" w:hAnsi="Times New Roman"/>
        </w:rPr>
        <w:tab/>
        <w:t xml:space="preserve"> </w:t>
        <w:tab/>
      </w:r>
    </w:p>
    <w:p>
      <w:pPr>
        <w:pStyle w:val="Normal"/>
        <w:spacing w:lineRule="auto" w:line="240" w:before="0" w:after="0"/>
        <w:jc w:val="both"/>
        <w:rPr>
          <w:rFonts w:ascii="Times New Roman" w:hAnsi="Times New Roman" w:eastAsia="Times New Roman" w:cs="Times New Roman"/>
          <w:b/>
          <w:bCs/>
        </w:rPr>
      </w:pPr>
      <w:r>
        <w:rPr>
          <w:rFonts w:eastAsia="Times New Roman" w:cs="Times New Roman" w:ascii="Times New Roman" w:hAnsi="Times New Roman"/>
          <w:b/>
          <w:bCs/>
        </w:rPr>
        <w:t>References</w:t>
      </w:r>
      <w:r>
        <w:rPr>
          <w:rStyle w:val="FootnoteReference"/>
          <w:rFonts w:eastAsia="Times New Roman" w:cs="Times New Roman" w:ascii="Times New Roman" w:hAnsi="Times New Roman"/>
          <w:b/>
          <w:bCs/>
          <w:vertAlign w:val="superscript"/>
        </w:rPr>
        <w:footnoteReference w:id="3"/>
      </w:r>
    </w:p>
    <w:p>
      <w:pPr>
        <w:pStyle w:val="Normal"/>
        <w:spacing w:lineRule="auto" w:line="240" w:before="0" w:after="0"/>
        <w:rPr>
          <w:rFonts w:ascii="Times New Roman" w:hAnsi="Times New Roman" w:eastAsia="Times New Roman" w:cs="Times New Roman"/>
          <w:color w:val="222222"/>
        </w:rPr>
      </w:pPr>
      <w:r>
        <w:rPr>
          <w:rFonts w:eastAsia="Times New Roman" w:cs="Times New Roman" w:ascii="Times New Roman" w:hAnsi="Times New Roman"/>
          <w:b/>
          <w:bCs/>
        </w:rPr>
        <w:tab/>
      </w:r>
      <w:r>
        <w:rPr>
          <w:rFonts w:eastAsia="Times New Roman" w:cs="Times New Roman" w:ascii="Times New Roman" w:hAnsi="Times New Roman"/>
          <w:color w:val="222222"/>
        </w:rPr>
        <w:tab/>
        <w:t xml:space="preserve"> </w:t>
        <w:tab/>
        <w:t xml:space="preserve"> </w:t>
        <w:tab/>
        <w:t xml:space="preserve"> </w:t>
        <w:tab/>
      </w:r>
    </w:p>
    <w:p>
      <w:pPr>
        <w:pStyle w:val="Normal"/>
        <w:spacing w:lineRule="auto" w:line="240" w:before="0" w:after="0"/>
        <w:rPr>
          <w:rFonts w:ascii="Times New Roman" w:hAnsi="Times New Roman" w:eastAsia="Times New Roman" w:cs="Times New Roman"/>
          <w:sz w:val="20"/>
          <w:szCs w:val="20"/>
        </w:rPr>
      </w:pPr>
      <w:hyperlink r:id="rId17">
        <w:r>
          <w:rPr>
            <w:rStyle w:val="Style3"/>
            <w:rFonts w:eastAsia="Times New Roman" w:cs="Times New Roman" w:ascii="Times New Roman" w:hAnsi="Times New Roman"/>
            <w:color w:val="0000FF"/>
            <w:sz w:val="20"/>
            <w:szCs w:val="20"/>
            <w:u w:val="single"/>
          </w:rPr>
          <w:t>[ABI24]</w:t>
        </w:r>
      </w:hyperlink>
      <w:r>
        <w:rPr>
          <w:rFonts w:eastAsia="Times New Roman" w:cs="Times New Roman" w:ascii="Times New Roman" w:hAnsi="Times New Roman"/>
          <w:b/>
          <w:bCs/>
          <w:i/>
          <w:iCs/>
          <w:color w:val="222222"/>
          <w:sz w:val="20"/>
          <w:szCs w:val="20"/>
        </w:rPr>
        <w:t xml:space="preserve"> </w:t>
      </w:r>
      <w:r>
        <w:rPr>
          <w:rFonts w:eastAsia="Times New Roman" w:cs="Times New Roman" w:ascii="Times New Roman" w:hAnsi="Times New Roman"/>
          <w:color w:val="222222"/>
          <w:sz w:val="20"/>
          <w:szCs w:val="20"/>
        </w:rPr>
        <w:t xml:space="preserve">E. Abidi </w:t>
      </w:r>
      <w:r>
        <w:rPr>
          <w:rFonts w:eastAsia="Times New Roman" w:cs="Times New Roman" w:ascii="Times New Roman" w:hAnsi="Times New Roman"/>
          <w:i/>
          <w:iCs/>
          <w:color w:val="222222"/>
          <w:sz w:val="20"/>
          <w:szCs w:val="20"/>
        </w:rPr>
        <w:t xml:space="preserve">et al. </w:t>
      </w:r>
      <w:r>
        <w:rPr>
          <w:rFonts w:eastAsia="Times New Roman" w:cs="Times New Roman" w:ascii="Times New Roman" w:hAnsi="Times New Roman"/>
          <w:color w:val="222222"/>
          <w:sz w:val="20"/>
          <w:szCs w:val="20"/>
        </w:rPr>
        <w:t xml:space="preserve">Nanomaterials </w:t>
      </w:r>
      <w:r>
        <w:rPr>
          <w:rFonts w:eastAsia="Times New Roman" w:cs="Times New Roman" w:ascii="Times New Roman" w:hAnsi="Times New Roman"/>
          <w:b/>
          <w:bCs/>
          <w:color w:val="222222"/>
          <w:sz w:val="20"/>
          <w:szCs w:val="20"/>
        </w:rPr>
        <w:t>14</w:t>
      </w:r>
      <w:r>
        <w:rPr>
          <w:rFonts w:eastAsia="Times New Roman" w:cs="Times New Roman" w:ascii="Times New Roman" w:hAnsi="Times New Roman"/>
          <w:color w:val="222222"/>
          <w:sz w:val="20"/>
          <w:szCs w:val="20"/>
        </w:rPr>
        <w:t>, 383 (2024).</w:t>
      </w:r>
      <w:r>
        <w:rPr>
          <w:rFonts w:eastAsia="Times New Roman" w:cs="Times New Roman" w:ascii="Times New Roman" w:hAnsi="Times New Roman"/>
          <w:b/>
          <w:bCs/>
          <w:sz w:val="20"/>
          <w:szCs w:val="20"/>
        </w:rPr>
        <w:br/>
      </w:r>
      <w:hyperlink r:id="rId18">
        <w:r>
          <w:rPr>
            <w:rStyle w:val="Style3"/>
            <w:rFonts w:eastAsia="Times New Roman" w:cs="Times New Roman" w:ascii="Times New Roman" w:hAnsi="Times New Roman"/>
            <w:color w:val="1155CC"/>
            <w:sz w:val="20"/>
            <w:szCs w:val="20"/>
            <w:u w:val="single"/>
          </w:rPr>
          <w:t>[ALT19]</w:t>
        </w:r>
      </w:hyperlink>
      <w:r>
        <w:rPr>
          <w:rFonts w:eastAsia="Times New Roman" w:cs="Times New Roman" w:ascii="Times New Roman" w:hAnsi="Times New Roman"/>
          <w:sz w:val="20"/>
          <w:szCs w:val="20"/>
        </w:rPr>
        <w:t xml:space="preserve"> M. A. Altvater </w:t>
      </w:r>
      <w:r>
        <w:rPr>
          <w:rFonts w:eastAsia="Times New Roman" w:cs="Times New Roman" w:ascii="Times New Roman" w:hAnsi="Times New Roman"/>
          <w:i/>
          <w:iCs/>
          <w:sz w:val="20"/>
          <w:szCs w:val="20"/>
        </w:rPr>
        <w:t xml:space="preserve">et al. </w:t>
      </w:r>
      <w:r>
        <w:rPr>
          <w:rFonts w:eastAsia="Times New Roman" w:cs="Times New Roman" w:ascii="Times New Roman" w:hAnsi="Times New Roman"/>
          <w:sz w:val="20"/>
          <w:szCs w:val="20"/>
        </w:rPr>
        <w:t xml:space="preserve">2D Mater. </w:t>
      </w:r>
      <w:r>
        <w:rPr>
          <w:rFonts w:eastAsia="Times New Roman" w:cs="Times New Roman" w:ascii="Times New Roman" w:hAnsi="Times New Roman"/>
          <w:b/>
          <w:bCs/>
          <w:sz w:val="20"/>
          <w:szCs w:val="20"/>
        </w:rPr>
        <w:t>6</w:t>
      </w:r>
      <w:r>
        <w:rPr>
          <w:rFonts w:eastAsia="Times New Roman" w:cs="Times New Roman" w:ascii="Times New Roman" w:hAnsi="Times New Roman"/>
          <w:sz w:val="20"/>
          <w:szCs w:val="20"/>
        </w:rPr>
        <w:t>, 045034 (2019).</w:t>
      </w:r>
    </w:p>
    <w:p>
      <w:pPr>
        <w:pStyle w:val="Normal"/>
        <w:spacing w:lineRule="auto" w:line="240" w:before="0" w:after="0"/>
        <w:rPr>
          <w:rFonts w:ascii="Times New Roman" w:hAnsi="Times New Roman" w:eastAsia="Times New Roman" w:cs="Times New Roman"/>
          <w:color w:val="222222"/>
          <w:sz w:val="20"/>
          <w:szCs w:val="20"/>
        </w:rPr>
      </w:pPr>
      <w:hyperlink r:id="rId19">
        <w:r>
          <w:rPr>
            <w:rStyle w:val="Style3"/>
            <w:rFonts w:eastAsia="Times New Roman" w:cs="Times New Roman" w:ascii="Times New Roman" w:hAnsi="Times New Roman"/>
            <w:color w:val="1155CC"/>
            <w:sz w:val="20"/>
            <w:szCs w:val="20"/>
            <w:u w:val="single"/>
          </w:rPr>
          <w:t>[ARR20]</w:t>
        </w:r>
      </w:hyperlink>
      <w:r>
        <w:rPr>
          <w:rFonts w:eastAsia="Times New Roman" w:cs="Times New Roman" w:ascii="Times New Roman" w:hAnsi="Times New Roman"/>
          <w:sz w:val="20"/>
          <w:szCs w:val="20"/>
        </w:rPr>
        <w:t xml:space="preserve"> O. Arroyo-Gascón </w:t>
      </w:r>
      <w:r>
        <w:rPr>
          <w:rFonts w:eastAsia="Times New Roman" w:cs="Times New Roman" w:ascii="Times New Roman" w:hAnsi="Times New Roman"/>
          <w:i/>
          <w:iCs/>
          <w:color w:val="222222"/>
          <w:sz w:val="20"/>
          <w:szCs w:val="20"/>
        </w:rPr>
        <w:t xml:space="preserve">et al. </w:t>
      </w:r>
      <w:r>
        <w:rPr>
          <w:rFonts w:eastAsia="Times New Roman" w:cs="Times New Roman" w:ascii="Times New Roman" w:hAnsi="Times New Roman"/>
          <w:color w:val="222222"/>
          <w:sz w:val="20"/>
          <w:szCs w:val="20"/>
        </w:rPr>
        <w:t xml:space="preserve">Nano Letters </w:t>
      </w:r>
      <w:r>
        <w:rPr>
          <w:rFonts w:eastAsia="Times New Roman" w:cs="Times New Roman" w:ascii="Times New Roman" w:hAnsi="Times New Roman"/>
          <w:b/>
          <w:bCs/>
          <w:color w:val="222222"/>
          <w:sz w:val="20"/>
          <w:szCs w:val="20"/>
        </w:rPr>
        <w:t>20</w:t>
      </w:r>
      <w:r>
        <w:rPr>
          <w:rFonts w:eastAsia="Times New Roman" w:cs="Times New Roman" w:ascii="Times New Roman" w:hAnsi="Times New Roman"/>
          <w:color w:val="222222"/>
          <w:sz w:val="20"/>
          <w:szCs w:val="20"/>
        </w:rPr>
        <w:t>, 7588 (2020).</w:t>
      </w:r>
    </w:p>
    <w:p>
      <w:pPr>
        <w:pStyle w:val="Normal"/>
        <w:spacing w:lineRule="auto" w:line="240" w:before="0" w:after="0"/>
        <w:rPr>
          <w:rFonts w:ascii="Times New Roman" w:hAnsi="Times New Roman" w:eastAsia="Times New Roman" w:cs="Times New Roman"/>
          <w:sz w:val="20"/>
          <w:szCs w:val="20"/>
        </w:rPr>
      </w:pPr>
      <w:hyperlink r:id="rId20">
        <w:r>
          <w:rPr>
            <w:rStyle w:val="Style3"/>
            <w:rFonts w:eastAsia="Times New Roman" w:cs="Times New Roman" w:ascii="Times New Roman" w:hAnsi="Times New Roman"/>
            <w:color w:val="1155CC"/>
            <w:sz w:val="20"/>
            <w:szCs w:val="20"/>
            <w:u w:val="single"/>
          </w:rPr>
          <w:t>[ARR23]</w:t>
        </w:r>
      </w:hyperlink>
      <w:r>
        <w:rPr>
          <w:rFonts w:eastAsia="Times New Roman" w:cs="Times New Roman" w:ascii="Times New Roman" w:hAnsi="Times New Roman"/>
          <w:sz w:val="20"/>
          <w:szCs w:val="20"/>
        </w:rPr>
        <w:t xml:space="preserve"> O. Arroyo-Gascón </w:t>
      </w:r>
      <w:r>
        <w:rPr>
          <w:rFonts w:eastAsia="Times New Roman" w:cs="Times New Roman" w:ascii="Times New Roman" w:hAnsi="Times New Roman"/>
          <w:i/>
          <w:iCs/>
          <w:color w:val="222222"/>
          <w:sz w:val="20"/>
          <w:szCs w:val="20"/>
        </w:rPr>
        <w:t xml:space="preserve">et al. </w:t>
      </w:r>
      <w:r>
        <w:rPr>
          <w:rFonts w:eastAsia="Times New Roman" w:cs="Times New Roman" w:ascii="Times New Roman" w:hAnsi="Times New Roman"/>
          <w:color w:val="222222"/>
          <w:sz w:val="20"/>
          <w:szCs w:val="20"/>
        </w:rPr>
        <w:t xml:space="preserve">Carbon </w:t>
      </w:r>
      <w:r>
        <w:rPr>
          <w:rFonts w:eastAsia="Times New Roman" w:cs="Times New Roman" w:ascii="Times New Roman" w:hAnsi="Times New Roman"/>
          <w:b/>
          <w:bCs/>
          <w:color w:val="222222"/>
          <w:sz w:val="20"/>
          <w:szCs w:val="20"/>
        </w:rPr>
        <w:t>205</w:t>
      </w:r>
      <w:r>
        <w:rPr>
          <w:rFonts w:eastAsia="Times New Roman" w:cs="Times New Roman" w:ascii="Times New Roman" w:hAnsi="Times New Roman"/>
          <w:color w:val="222222"/>
          <w:sz w:val="20"/>
          <w:szCs w:val="20"/>
        </w:rPr>
        <w:t>, 394 (2023).</w:t>
      </w:r>
    </w:p>
    <w:p>
      <w:pPr>
        <w:pStyle w:val="Normal"/>
        <w:spacing w:lineRule="auto" w:line="240" w:before="0" w:after="0"/>
        <w:rPr>
          <w:rFonts w:ascii="Times New Roman" w:hAnsi="Times New Roman" w:eastAsia="Times New Roman" w:cs="Times New Roman"/>
          <w:sz w:val="20"/>
          <w:szCs w:val="20"/>
        </w:rPr>
      </w:pPr>
      <w:hyperlink r:id="rId21">
        <w:r>
          <w:rPr>
            <w:rStyle w:val="Style3"/>
            <w:rFonts w:eastAsia="Times New Roman" w:cs="Times New Roman" w:ascii="Times New Roman" w:hAnsi="Times New Roman"/>
            <w:color w:val="1155CC"/>
            <w:sz w:val="20"/>
            <w:szCs w:val="20"/>
            <w:u w:val="single"/>
          </w:rPr>
          <w:t>[BAB25a]</w:t>
        </w:r>
      </w:hyperlink>
      <w:r>
        <w:rPr>
          <w:rFonts w:eastAsia="Times New Roman" w:cs="Times New Roman" w:ascii="Times New Roman" w:hAnsi="Times New Roman"/>
          <w:sz w:val="20"/>
          <w:szCs w:val="20"/>
        </w:rPr>
        <w:t xml:space="preserve"> Y. Baba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New J. Phys. </w:t>
      </w:r>
      <w:r>
        <w:rPr>
          <w:rFonts w:eastAsia="Times New Roman" w:cs="Times New Roman" w:ascii="Times New Roman" w:hAnsi="Times New Roman"/>
          <w:b/>
          <w:bCs/>
          <w:sz w:val="20"/>
          <w:szCs w:val="20"/>
        </w:rPr>
        <w:t>27</w:t>
      </w:r>
      <w:r>
        <w:rPr>
          <w:rFonts w:eastAsia="Times New Roman" w:cs="Times New Roman" w:ascii="Times New Roman" w:hAnsi="Times New Roman"/>
          <w:sz w:val="20"/>
          <w:szCs w:val="20"/>
        </w:rPr>
        <w:t>, 043015 (2025).</w:t>
      </w:r>
    </w:p>
    <w:p>
      <w:pPr>
        <w:pStyle w:val="Normal"/>
        <w:spacing w:lineRule="auto" w:line="240" w:before="0" w:after="0"/>
        <w:rPr>
          <w:rFonts w:ascii="Times New Roman" w:hAnsi="Times New Roman" w:eastAsia="Times New Roman" w:cs="Times New Roman"/>
          <w:color w:val="1F2328"/>
          <w:sz w:val="20"/>
          <w:szCs w:val="20"/>
          <w:highlight w:val="white"/>
        </w:rPr>
      </w:pPr>
      <w:r>
        <w:rPr>
          <w:rFonts w:eastAsia="Times New Roman" w:cs="Times New Roman" w:ascii="Times New Roman" w:hAnsi="Times New Roman"/>
          <w:sz w:val="20"/>
          <w:szCs w:val="20"/>
        </w:rPr>
        <w:t>[</w:t>
      </w:r>
      <w:hyperlink r:id="rId22">
        <w:r>
          <w:rPr>
            <w:rStyle w:val="Style3"/>
            <w:rFonts w:eastAsia="Times New Roman" w:cs="Times New Roman" w:ascii="Times New Roman" w:hAnsi="Times New Roman"/>
            <w:color w:val="1155CC"/>
            <w:sz w:val="20"/>
            <w:szCs w:val="20"/>
            <w:u w:val="single"/>
          </w:rPr>
          <w:t>BAB25b</w:t>
        </w:r>
      </w:hyperlink>
      <w:r>
        <w:rPr>
          <w:rFonts w:eastAsia="Times New Roman" w:cs="Times New Roman" w:ascii="Times New Roman" w:hAnsi="Times New Roman"/>
          <w:sz w:val="20"/>
          <w:szCs w:val="20"/>
        </w:rPr>
        <w:t xml:space="preserve">] Y. Baba, </w:t>
      </w:r>
      <w:r>
        <w:rPr>
          <w:rFonts w:eastAsia="Times New Roman" w:cs="Times New Roman" w:ascii="Times New Roman" w:hAnsi="Times New Roman"/>
          <w:color w:val="1F2328"/>
          <w:sz w:val="20"/>
          <w:szCs w:val="20"/>
          <w:highlight w:val="white"/>
        </w:rPr>
        <w:t xml:space="preserve">Floquet </w:t>
      </w:r>
      <w:r>
        <w:rPr>
          <w:rFonts w:eastAsia="Times New Roman" w:cs="Times New Roman" w:ascii="Times New Roman" w:hAnsi="Times New Roman"/>
          <w:i/>
          <w:iCs/>
          <w:color w:val="1F2328"/>
          <w:sz w:val="20"/>
          <w:szCs w:val="20"/>
          <w:highlight w:val="white"/>
        </w:rPr>
        <w:t>t</w:t>
      </w:r>
      <w:r>
        <w:rPr>
          <w:rFonts w:eastAsia="Times New Roman" w:cs="Times New Roman" w:ascii="Times New Roman" w:hAnsi="Times New Roman"/>
          <w:color w:val="1F2328"/>
          <w:sz w:val="20"/>
          <w:szCs w:val="20"/>
          <w:highlight w:val="white"/>
        </w:rPr>
        <w:t>-</w:t>
      </w:r>
      <w:r>
        <w:rPr>
          <w:rFonts w:eastAsia="Times New Roman" w:cs="Times New Roman" w:ascii="Times New Roman" w:hAnsi="Times New Roman"/>
          <w:i/>
          <w:iCs/>
          <w:color w:val="1F2328"/>
          <w:sz w:val="20"/>
          <w:szCs w:val="20"/>
          <w:highlight w:val="white"/>
        </w:rPr>
        <w:t>t</w:t>
      </w:r>
      <w:r>
        <w:rPr>
          <w:rFonts w:eastAsia="Times New Roman" w:cs="Times New Roman" w:ascii="Times New Roman" w:hAnsi="Times New Roman"/>
          <w:color w:val="1F2328"/>
          <w:sz w:val="20"/>
          <w:szCs w:val="20"/>
          <w:highlight w:val="white"/>
        </w:rPr>
        <w:t>' formalism solver in Python.</w:t>
      </w:r>
    </w:p>
    <w:p>
      <w:pPr>
        <w:pStyle w:val="Normal"/>
        <w:spacing w:lineRule="auto" w:line="240" w:before="0" w:after="0"/>
        <w:rPr>
          <w:rFonts w:ascii="Times New Roman" w:hAnsi="Times New Roman" w:eastAsia="Times New Roman" w:cs="Times New Roman"/>
          <w:color w:val="1F2328"/>
          <w:sz w:val="20"/>
          <w:szCs w:val="20"/>
          <w:highlight w:val="white"/>
        </w:rPr>
      </w:pPr>
      <w:hyperlink r:id="rId23">
        <w:r>
          <w:rPr>
            <w:rStyle w:val="Style3"/>
            <w:rFonts w:eastAsia="Times New Roman" w:cs="Times New Roman" w:ascii="Times New Roman" w:hAnsi="Times New Roman"/>
            <w:color w:val="1155CC"/>
            <w:sz w:val="20"/>
            <w:szCs w:val="20"/>
            <w:highlight w:val="white"/>
            <w:u w:val="single"/>
          </w:rPr>
          <w:t>[BAB25c]</w:t>
        </w:r>
      </w:hyperlink>
      <w:r>
        <w:rPr>
          <w:rFonts w:eastAsia="Times New Roman" w:cs="Times New Roman" w:ascii="Times New Roman" w:hAnsi="Times New Roman"/>
          <w:color w:val="1F2328"/>
          <w:sz w:val="20"/>
          <w:szCs w:val="20"/>
          <w:highlight w:val="white"/>
        </w:rPr>
        <w:t xml:space="preserve"> Y. Baba </w:t>
      </w:r>
      <w:r>
        <w:rPr>
          <w:rFonts w:eastAsia="Times New Roman" w:cs="Times New Roman" w:ascii="Times New Roman" w:hAnsi="Times New Roman"/>
          <w:i/>
          <w:iCs/>
          <w:color w:val="1F2328"/>
          <w:sz w:val="20"/>
          <w:szCs w:val="20"/>
          <w:highlight w:val="white"/>
        </w:rPr>
        <w:t xml:space="preserve">et al. </w:t>
      </w:r>
      <w:r>
        <w:rPr>
          <w:rFonts w:eastAsia="Times New Roman" w:cs="Times New Roman" w:ascii="Times New Roman" w:hAnsi="Times New Roman"/>
          <w:color w:val="1F2328"/>
          <w:sz w:val="20"/>
          <w:szCs w:val="20"/>
          <w:highlight w:val="white"/>
        </w:rPr>
        <w:t>arXiv:2507.14074 (2025).</w:t>
      </w:r>
    </w:p>
    <w:p>
      <w:pPr>
        <w:pStyle w:val="Normal"/>
        <w:spacing w:lineRule="auto" w:line="240" w:before="0" w:after="0"/>
        <w:rPr>
          <w:rFonts w:ascii="Times New Roman" w:hAnsi="Times New Roman" w:eastAsia="Times New Roman" w:cs="Times New Roman"/>
          <w:b/>
          <w:bCs/>
          <w:sz w:val="20"/>
          <w:szCs w:val="20"/>
        </w:rPr>
      </w:pPr>
      <w:hyperlink r:id="rId24">
        <w:r>
          <w:rPr>
            <w:rStyle w:val="Style3"/>
            <w:rFonts w:eastAsia="Times New Roman" w:cs="Times New Roman" w:ascii="Times New Roman" w:hAnsi="Times New Roman"/>
            <w:color w:val="1155CC"/>
            <w:sz w:val="20"/>
            <w:szCs w:val="20"/>
            <w:u w:val="single"/>
          </w:rPr>
          <w:t>[BAN16]</w:t>
        </w:r>
      </w:hyperlink>
      <w:r>
        <w:rPr>
          <w:rFonts w:eastAsia="Times New Roman" w:cs="Times New Roman" w:ascii="Times New Roman" w:hAnsi="Times New Roman"/>
          <w:color w:val="1155CC"/>
          <w:sz w:val="20"/>
          <w:szCs w:val="20"/>
          <w:u w:val="single"/>
        </w:rPr>
        <w:t xml:space="preserve"> </w:t>
      </w:r>
      <w:r>
        <w:rPr>
          <w:rFonts w:eastAsia="Times New Roman" w:cs="Times New Roman" w:ascii="Times New Roman" w:hAnsi="Times New Roman"/>
          <w:sz w:val="20"/>
          <w:szCs w:val="20"/>
        </w:rPr>
        <w:t xml:space="preserve">D. A. Bandurin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Science </w:t>
      </w:r>
      <w:r>
        <w:rPr>
          <w:rFonts w:eastAsia="Times New Roman" w:cs="Times New Roman" w:ascii="Times New Roman" w:hAnsi="Times New Roman"/>
          <w:b/>
          <w:bCs/>
          <w:sz w:val="20"/>
          <w:szCs w:val="20"/>
        </w:rPr>
        <w:t>351</w:t>
      </w:r>
      <w:r>
        <w:rPr>
          <w:rFonts w:eastAsia="Times New Roman" w:cs="Times New Roman" w:ascii="Times New Roman" w:hAnsi="Times New Roman"/>
          <w:sz w:val="20"/>
          <w:szCs w:val="20"/>
        </w:rPr>
        <w:t>, 1055 (2016).</w:t>
      </w:r>
      <w:r>
        <w:rPr>
          <w:rFonts w:eastAsia="Times New Roman" w:cs="Times New Roman" w:ascii="Times New Roman" w:hAnsi="Times New Roman"/>
          <w:b/>
          <w:bCs/>
          <w:sz w:val="20"/>
          <w:szCs w:val="20"/>
        </w:rPr>
        <w:t xml:space="preserve"> </w:t>
      </w:r>
    </w:p>
    <w:p>
      <w:pPr>
        <w:pStyle w:val="Normal"/>
        <w:spacing w:lineRule="auto" w:line="240" w:before="0" w:after="0"/>
        <w:rPr>
          <w:rFonts w:ascii="Times New Roman" w:hAnsi="Times New Roman" w:eastAsia="Times New Roman" w:cs="Times New Roman"/>
          <w:b/>
          <w:bCs/>
          <w:sz w:val="20"/>
          <w:szCs w:val="20"/>
        </w:rPr>
      </w:pPr>
      <w:hyperlink r:id="rId25">
        <w:r>
          <w:rPr>
            <w:rStyle w:val="Style3"/>
            <w:rFonts w:eastAsia="Times New Roman" w:cs="Times New Roman" w:ascii="Times New Roman" w:hAnsi="Times New Roman"/>
            <w:color w:val="1155CC"/>
            <w:sz w:val="20"/>
            <w:szCs w:val="20"/>
            <w:u w:val="single"/>
          </w:rPr>
          <w:t>[BAE95</w:t>
        </w:r>
      </w:hyperlink>
      <w:r>
        <w:rPr>
          <w:rFonts w:eastAsia="Times New Roman" w:cs="Times New Roman" w:ascii="Times New Roman" w:hAnsi="Times New Roman"/>
          <w:sz w:val="20"/>
          <w:szCs w:val="20"/>
        </w:rPr>
        <w:t>]</w:t>
      </w:r>
      <w:r>
        <w:rPr>
          <w:rFonts w:eastAsia="Times New Roman" w:cs="Times New Roman" w:ascii="Times New Roman" w:hAnsi="Times New Roman"/>
          <w:b/>
          <w:bCs/>
          <w:sz w:val="20"/>
          <w:szCs w:val="20"/>
        </w:rPr>
        <w:t xml:space="preserve"> </w:t>
      </w:r>
      <w:r>
        <w:rPr>
          <w:rFonts w:eastAsia="Times New Roman" w:cs="Times New Roman" w:ascii="Times New Roman" w:hAnsi="Times New Roman"/>
          <w:sz w:val="20"/>
          <w:szCs w:val="20"/>
        </w:rPr>
        <w:t xml:space="preserve">M. Baert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w:t>
      </w:r>
      <w:r>
        <w:rPr>
          <w:rFonts w:eastAsia="Times New Roman" w:cs="Times New Roman" w:ascii="Times New Roman" w:hAnsi="Times New Roman"/>
          <w:sz w:val="21"/>
          <w:szCs w:val="21"/>
          <w:highlight w:val="white"/>
        </w:rPr>
        <w:t xml:space="preserve">Phys. Rev. Lett. </w:t>
      </w:r>
      <w:r>
        <w:rPr>
          <w:rFonts w:eastAsia="Times New Roman" w:cs="Times New Roman" w:ascii="Times New Roman" w:hAnsi="Times New Roman"/>
          <w:b/>
          <w:bCs/>
          <w:sz w:val="21"/>
          <w:szCs w:val="21"/>
          <w:highlight w:val="white"/>
        </w:rPr>
        <w:t>74</w:t>
      </w:r>
      <w:r>
        <w:rPr>
          <w:rFonts w:eastAsia="Times New Roman" w:cs="Times New Roman" w:ascii="Times New Roman" w:hAnsi="Times New Roman"/>
          <w:sz w:val="21"/>
          <w:szCs w:val="21"/>
          <w:highlight w:val="white"/>
        </w:rPr>
        <w:t>, 3269 (1995)</w:t>
      </w:r>
      <w:r>
        <w:rPr>
          <w:rFonts w:eastAsia="Times New Roman" w:cs="Times New Roman" w:ascii="Times New Roman" w:hAnsi="Times New Roman"/>
          <w:b/>
          <w:bCs/>
          <w:sz w:val="21"/>
          <w:szCs w:val="21"/>
          <w:highlight w:val="white"/>
        </w:rPr>
        <w:t>.</w:t>
      </w:r>
      <w:r>
        <w:rPr>
          <w:rFonts w:eastAsia="Times New Roman" w:cs="Times New Roman" w:ascii="Times New Roman" w:hAnsi="Times New Roman"/>
          <w:b/>
          <w:bCs/>
          <w:sz w:val="20"/>
          <w:szCs w:val="20"/>
        </w:rPr>
        <w:tab/>
        <w:t xml:space="preserve"> </w:t>
      </w:r>
    </w:p>
    <w:p>
      <w:pPr>
        <w:pStyle w:val="Normal"/>
        <w:spacing w:lineRule="auto" w:line="240" w:before="0" w:after="0"/>
        <w:rPr>
          <w:rFonts w:ascii="Times New Roman" w:hAnsi="Times New Roman" w:eastAsia="Times New Roman" w:cs="Times New Roman"/>
          <w:sz w:val="20"/>
          <w:szCs w:val="20"/>
        </w:rPr>
      </w:pPr>
      <w:hyperlink r:id="rId26">
        <w:r>
          <w:rPr>
            <w:rStyle w:val="Style3"/>
            <w:rFonts w:eastAsia="Times New Roman" w:cs="Times New Roman" w:ascii="Times New Roman" w:hAnsi="Times New Roman"/>
            <w:color w:val="1155CC"/>
            <w:sz w:val="20"/>
            <w:szCs w:val="20"/>
            <w:u w:val="single"/>
          </w:rPr>
          <w:t>[BAR22]</w:t>
        </w:r>
      </w:hyperlink>
      <w:r>
        <w:rPr>
          <w:rFonts w:eastAsia="Times New Roman" w:cs="Times New Roman" w:ascii="Times New Roman" w:hAnsi="Times New Roman"/>
          <w:sz w:val="20"/>
          <w:szCs w:val="20"/>
        </w:rPr>
        <w:t xml:space="preserve"> D. Barcons Ruiz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Nat. Commun. </w:t>
      </w:r>
      <w:r>
        <w:rPr>
          <w:rFonts w:eastAsia="Times New Roman" w:cs="Times New Roman" w:ascii="Times New Roman" w:hAnsi="Times New Roman"/>
          <w:b/>
          <w:bCs/>
          <w:sz w:val="20"/>
          <w:szCs w:val="20"/>
        </w:rPr>
        <w:t>13</w:t>
      </w:r>
      <w:r>
        <w:rPr>
          <w:rFonts w:eastAsia="Times New Roman" w:cs="Times New Roman" w:ascii="Times New Roman" w:hAnsi="Times New Roman"/>
          <w:sz w:val="20"/>
          <w:szCs w:val="20"/>
        </w:rPr>
        <w:t>, 6926 (2022).</w:t>
      </w:r>
      <w:r>
        <w:rPr>
          <w:rFonts w:eastAsia="Times New Roman" w:cs="Times New Roman" w:ascii="Times New Roman" w:hAnsi="Times New Roman"/>
          <w:b/>
          <w:bCs/>
          <w:sz w:val="20"/>
          <w:szCs w:val="20"/>
        </w:rPr>
        <w:tab/>
      </w:r>
      <w:r>
        <w:rPr>
          <w:rFonts w:eastAsia="Times New Roman" w:cs="Times New Roman" w:ascii="Times New Roman" w:hAnsi="Times New Roman"/>
          <w:sz w:val="20"/>
          <w:szCs w:val="20"/>
        </w:rPr>
        <w:tab/>
        <w:t xml:space="preserve"> </w:t>
        <w:tab/>
        <w:t xml:space="preserve"> </w:t>
        <w:tab/>
        <w:t xml:space="preserve"> </w:t>
      </w:r>
    </w:p>
    <w:p>
      <w:pPr>
        <w:pStyle w:val="Normal"/>
        <w:spacing w:lineRule="auto" w:line="240" w:before="0" w:after="0"/>
        <w:rPr>
          <w:rFonts w:ascii="Times New Roman" w:hAnsi="Times New Roman" w:eastAsia="Times New Roman" w:cs="Times New Roman"/>
          <w:sz w:val="20"/>
          <w:szCs w:val="20"/>
        </w:rPr>
      </w:pPr>
      <w:hyperlink r:id="rId27">
        <w:r>
          <w:rPr>
            <w:rStyle w:val="Style3"/>
            <w:rFonts w:eastAsia="Times New Roman" w:cs="Times New Roman" w:ascii="Times New Roman" w:hAnsi="Times New Roman"/>
            <w:color w:val="1155CC"/>
            <w:sz w:val="20"/>
            <w:szCs w:val="20"/>
            <w:u w:val="single"/>
          </w:rPr>
          <w:t>[BAR23]</w:t>
        </w:r>
      </w:hyperlink>
      <w:r>
        <w:rPr>
          <w:rFonts w:eastAsia="Times New Roman" w:cs="Times New Roman" w:ascii="Times New Roman" w:hAnsi="Times New Roman"/>
          <w:sz w:val="20"/>
          <w:szCs w:val="20"/>
        </w:rPr>
        <w:t xml:space="preserve"> D. Barcons-Ruiz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Science Adv. </w:t>
      </w:r>
      <w:r>
        <w:rPr>
          <w:rFonts w:eastAsia="Times New Roman" w:cs="Times New Roman" w:ascii="Times New Roman" w:hAnsi="Times New Roman"/>
          <w:b/>
          <w:bCs/>
          <w:sz w:val="20"/>
          <w:szCs w:val="20"/>
        </w:rPr>
        <w:t>9</w:t>
      </w:r>
      <w:r>
        <w:rPr>
          <w:rFonts w:eastAsia="Times New Roman" w:cs="Times New Roman" w:ascii="Times New Roman" w:hAnsi="Times New Roman"/>
          <w:sz w:val="20"/>
          <w:szCs w:val="20"/>
        </w:rPr>
        <w:t>, 39 (2023).</w:t>
      </w:r>
    </w:p>
    <w:p>
      <w:pPr>
        <w:pStyle w:val="Normal"/>
        <w:spacing w:lineRule="auto" w:line="240" w:before="0" w:after="0"/>
        <w:rPr>
          <w:rFonts w:ascii="Times New Roman" w:hAnsi="Times New Roman" w:eastAsia="Times New Roman" w:cs="Times New Roman"/>
          <w:sz w:val="20"/>
          <w:szCs w:val="20"/>
        </w:rPr>
      </w:pPr>
      <w:hyperlink r:id="rId28">
        <w:r>
          <w:rPr>
            <w:rStyle w:val="Style3"/>
            <w:rFonts w:eastAsia="Times New Roman" w:cs="Times New Roman" w:ascii="Times New Roman" w:hAnsi="Times New Roman"/>
            <w:color w:val="1155CC"/>
            <w:sz w:val="20"/>
            <w:szCs w:val="20"/>
            <w:u w:val="single"/>
          </w:rPr>
          <w:t>[BER19]</w:t>
        </w:r>
      </w:hyperlink>
      <w:r>
        <w:rPr>
          <w:rFonts w:eastAsia="Times New Roman" w:cs="Times New Roman" w:ascii="Times New Roman" w:hAnsi="Times New Roman"/>
          <w:sz w:val="20"/>
          <w:szCs w:val="20"/>
        </w:rPr>
        <w:t xml:space="preserve"> A. I. Berdyugin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Science </w:t>
      </w:r>
      <w:r>
        <w:rPr>
          <w:rFonts w:eastAsia="Times New Roman" w:cs="Times New Roman" w:ascii="Times New Roman" w:hAnsi="Times New Roman"/>
          <w:b/>
          <w:bCs/>
          <w:sz w:val="20"/>
          <w:szCs w:val="20"/>
        </w:rPr>
        <w:t>364</w:t>
      </w:r>
      <w:r>
        <w:rPr>
          <w:rFonts w:eastAsia="Times New Roman" w:cs="Times New Roman" w:ascii="Times New Roman" w:hAnsi="Times New Roman"/>
          <w:sz w:val="20"/>
          <w:szCs w:val="20"/>
        </w:rPr>
        <w:t>, 162 (2019).</w:t>
        <w:br/>
      </w:r>
      <w:hyperlink r:id="rId29">
        <w:r>
          <w:rPr>
            <w:rStyle w:val="Style3"/>
            <w:rFonts w:eastAsia="Times New Roman" w:cs="Times New Roman" w:ascii="Times New Roman" w:hAnsi="Times New Roman"/>
            <w:color w:val="1155CC"/>
            <w:sz w:val="20"/>
            <w:szCs w:val="20"/>
            <w:u w:val="single"/>
          </w:rPr>
          <w:t>[BER22]</w:t>
        </w:r>
      </w:hyperlink>
      <w:r>
        <w:rPr>
          <w:rFonts w:eastAsia="Times New Roman" w:cs="Times New Roman" w:ascii="Times New Roman" w:hAnsi="Times New Roman"/>
          <w:sz w:val="20"/>
          <w:szCs w:val="20"/>
        </w:rPr>
        <w:t xml:space="preserve"> A. I. Berdyugin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Science </w:t>
      </w:r>
      <w:r>
        <w:rPr>
          <w:rFonts w:eastAsia="Times New Roman" w:cs="Times New Roman" w:ascii="Times New Roman" w:hAnsi="Times New Roman"/>
          <w:b/>
          <w:bCs/>
          <w:sz w:val="20"/>
          <w:szCs w:val="20"/>
        </w:rPr>
        <w:t>375</w:t>
      </w:r>
      <w:r>
        <w:rPr>
          <w:rFonts w:eastAsia="Times New Roman" w:cs="Times New Roman" w:ascii="Times New Roman" w:hAnsi="Times New Roman"/>
          <w:sz w:val="20"/>
          <w:szCs w:val="20"/>
        </w:rPr>
        <w:t>, 430 (2022).</w:t>
      </w:r>
    </w:p>
    <w:p>
      <w:pPr>
        <w:pStyle w:val="Normal"/>
        <w:spacing w:lineRule="auto" w:line="240" w:before="0" w:after="0"/>
        <w:rPr>
          <w:rFonts w:ascii="Times New Roman" w:hAnsi="Times New Roman" w:eastAsia="Times New Roman" w:cs="Times New Roman"/>
          <w:sz w:val="20"/>
          <w:szCs w:val="20"/>
        </w:rPr>
      </w:pPr>
      <w:hyperlink r:id="rId30">
        <w:r>
          <w:rPr>
            <w:rStyle w:val="Style3"/>
            <w:rFonts w:eastAsia="Times New Roman" w:cs="Times New Roman" w:ascii="Times New Roman" w:hAnsi="Times New Roman"/>
            <w:color w:val="1155CC"/>
            <w:sz w:val="20"/>
            <w:szCs w:val="20"/>
            <w:u w:val="single"/>
          </w:rPr>
          <w:t>[BER06a]</w:t>
        </w:r>
      </w:hyperlink>
      <w:r>
        <w:rPr>
          <w:rFonts w:eastAsia="Times New Roman" w:cs="Times New Roman" w:ascii="Times New Roman" w:hAnsi="Times New Roman"/>
          <w:sz w:val="20"/>
          <w:szCs w:val="20"/>
        </w:rPr>
        <w:t xml:space="preserve"> G. R. Berdiyorov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Rev B </w:t>
      </w:r>
      <w:r>
        <w:rPr>
          <w:rFonts w:eastAsia="Times New Roman" w:cs="Times New Roman" w:ascii="Times New Roman" w:hAnsi="Times New Roman"/>
          <w:b/>
          <w:bCs/>
          <w:sz w:val="20"/>
          <w:szCs w:val="20"/>
        </w:rPr>
        <w:t>74</w:t>
      </w:r>
      <w:r>
        <w:rPr>
          <w:rFonts w:eastAsia="Times New Roman" w:cs="Times New Roman" w:ascii="Times New Roman" w:hAnsi="Times New Roman"/>
          <w:sz w:val="20"/>
          <w:szCs w:val="20"/>
        </w:rPr>
        <w:t xml:space="preserve">, 174512 (2006). </w:t>
      </w:r>
    </w:p>
    <w:p>
      <w:pPr>
        <w:pStyle w:val="Normal"/>
        <w:spacing w:lineRule="auto" w:line="240" w:before="0" w:after="0"/>
        <w:rPr>
          <w:rFonts w:ascii="Times New Roman" w:hAnsi="Times New Roman" w:eastAsia="Times New Roman" w:cs="Times New Roman"/>
          <w:sz w:val="20"/>
          <w:szCs w:val="20"/>
        </w:rPr>
      </w:pPr>
      <w:hyperlink r:id="rId31">
        <w:r>
          <w:rPr>
            <w:rStyle w:val="Style3"/>
            <w:rFonts w:eastAsia="Times New Roman" w:cs="Times New Roman" w:ascii="Times New Roman" w:hAnsi="Times New Roman"/>
            <w:color w:val="1155CC"/>
            <w:sz w:val="20"/>
            <w:szCs w:val="20"/>
            <w:u w:val="single"/>
          </w:rPr>
          <w:t>[BER06b]</w:t>
        </w:r>
      </w:hyperlink>
      <w:r>
        <w:rPr>
          <w:rFonts w:eastAsia="Times New Roman" w:cs="Times New Roman" w:ascii="Times New Roman" w:hAnsi="Times New Roman"/>
          <w:sz w:val="20"/>
          <w:szCs w:val="20"/>
        </w:rPr>
        <w:t xml:space="preserve"> G. R. Berdiyorov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Rev Lett </w:t>
      </w:r>
      <w:r>
        <w:rPr>
          <w:rFonts w:eastAsia="Times New Roman" w:cs="Times New Roman" w:ascii="Times New Roman" w:hAnsi="Times New Roman"/>
          <w:b/>
          <w:bCs/>
          <w:sz w:val="20"/>
          <w:szCs w:val="20"/>
        </w:rPr>
        <w:t>96</w:t>
      </w:r>
      <w:r>
        <w:rPr>
          <w:rFonts w:eastAsia="Times New Roman" w:cs="Times New Roman" w:ascii="Times New Roman" w:hAnsi="Times New Roman"/>
          <w:sz w:val="20"/>
          <w:szCs w:val="20"/>
        </w:rPr>
        <w:t xml:space="preserve">, 207001 (2006). </w:t>
      </w:r>
    </w:p>
    <w:p>
      <w:pPr>
        <w:pStyle w:val="Normal"/>
        <w:spacing w:lineRule="auto" w:line="240" w:before="0" w:after="0"/>
        <w:rPr>
          <w:rFonts w:ascii="Times New Roman" w:hAnsi="Times New Roman" w:eastAsia="Times New Roman" w:cs="Times New Roman"/>
          <w:sz w:val="20"/>
          <w:szCs w:val="20"/>
        </w:rPr>
      </w:pPr>
      <w:hyperlink r:id="rId32">
        <w:r>
          <w:rPr>
            <w:rStyle w:val="Style3"/>
            <w:rFonts w:eastAsia="Times New Roman" w:cs="Times New Roman" w:ascii="Times New Roman" w:hAnsi="Times New Roman"/>
            <w:color w:val="1155CC"/>
            <w:sz w:val="20"/>
            <w:szCs w:val="20"/>
            <w:u w:val="single"/>
          </w:rPr>
          <w:t>[BRA21]</w:t>
        </w:r>
      </w:hyperlink>
      <w:r>
        <w:rPr>
          <w:rFonts w:eastAsia="Times New Roman" w:cs="Times New Roman" w:ascii="Times New Roman" w:hAnsi="Times New Roman"/>
          <w:sz w:val="20"/>
          <w:szCs w:val="20"/>
        </w:rPr>
        <w:t xml:space="preserve">  S. Bravo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Nanoscale </w:t>
      </w:r>
      <w:r>
        <w:rPr>
          <w:rFonts w:eastAsia="Times New Roman" w:cs="Times New Roman" w:ascii="Times New Roman" w:hAnsi="Times New Roman"/>
          <w:b/>
          <w:bCs/>
          <w:sz w:val="20"/>
          <w:szCs w:val="20"/>
        </w:rPr>
        <w:t>13</w:t>
      </w:r>
      <w:r>
        <w:rPr>
          <w:rFonts w:eastAsia="Times New Roman" w:cs="Times New Roman" w:ascii="Times New Roman" w:hAnsi="Times New Roman"/>
          <w:sz w:val="20"/>
          <w:szCs w:val="20"/>
        </w:rPr>
        <w:t>, 6117 (2021).</w:t>
        <w:br/>
      </w:r>
      <w:hyperlink r:id="rId33">
        <w:r>
          <w:rPr>
            <w:rStyle w:val="Style3"/>
            <w:rFonts w:eastAsia="Times New Roman" w:cs="Times New Roman" w:ascii="Times New Roman" w:hAnsi="Times New Roman"/>
            <w:color w:val="1155CC"/>
            <w:sz w:val="20"/>
            <w:szCs w:val="20"/>
            <w:u w:val="single"/>
          </w:rPr>
          <w:t>[BUC25]</w:t>
        </w:r>
      </w:hyperlink>
      <w:r>
        <w:rPr>
          <w:rFonts w:eastAsia="Times New Roman" w:cs="Times New Roman" w:ascii="Times New Roman" w:hAnsi="Times New Roman"/>
          <w:sz w:val="20"/>
          <w:szCs w:val="20"/>
        </w:rPr>
        <w:t xml:space="preserve"> M. Buchanan, Focus in Physics (2025).</w:t>
      </w:r>
    </w:p>
    <w:p>
      <w:pPr>
        <w:pStyle w:val="Normal"/>
        <w:spacing w:lineRule="auto" w:line="240" w:before="0" w:after="0"/>
        <w:rPr>
          <w:rFonts w:ascii="Times New Roman" w:hAnsi="Times New Roman" w:eastAsia="Times New Roman" w:cs="Times New Roman"/>
          <w:sz w:val="20"/>
          <w:szCs w:val="20"/>
        </w:rPr>
      </w:pPr>
      <w:hyperlink r:id="rId34">
        <w:r>
          <w:rPr>
            <w:rStyle w:val="Style3"/>
            <w:rFonts w:eastAsia="Times New Roman" w:cs="Times New Roman" w:ascii="Times New Roman" w:hAnsi="Times New Roman"/>
            <w:color w:val="1155CC"/>
            <w:sz w:val="20"/>
            <w:szCs w:val="20"/>
            <w:u w:val="single"/>
          </w:rPr>
          <w:t>[CAL59]</w:t>
        </w:r>
      </w:hyperlink>
      <w:r>
        <w:rPr>
          <w:rFonts w:eastAsia="Times New Roman" w:cs="Times New Roman" w:ascii="Times New Roman" w:hAnsi="Times New Roman"/>
          <w:sz w:val="20"/>
          <w:szCs w:val="20"/>
        </w:rPr>
        <w:t xml:space="preserve"> J. Callaway, Phys. Rev. </w:t>
      </w:r>
      <w:r>
        <w:rPr>
          <w:rFonts w:eastAsia="Times New Roman" w:cs="Times New Roman" w:ascii="Times New Roman" w:hAnsi="Times New Roman"/>
          <w:b/>
          <w:bCs/>
          <w:sz w:val="20"/>
          <w:szCs w:val="20"/>
        </w:rPr>
        <w:t>113</w:t>
      </w:r>
      <w:r>
        <w:rPr>
          <w:rFonts w:eastAsia="Times New Roman" w:cs="Times New Roman" w:ascii="Times New Roman" w:hAnsi="Times New Roman"/>
          <w:sz w:val="20"/>
          <w:szCs w:val="20"/>
        </w:rPr>
        <w:t>, 1046 (1959).</w:t>
      </w:r>
    </w:p>
    <w:p>
      <w:pPr>
        <w:pStyle w:val="Normal"/>
        <w:spacing w:lineRule="auto" w:line="240" w:before="0" w:after="0"/>
        <w:rPr>
          <w:rFonts w:ascii="Times New Roman" w:hAnsi="Times New Roman" w:eastAsia="Times New Roman" w:cs="Times New Roman"/>
          <w:color w:val="222222"/>
          <w:sz w:val="20"/>
          <w:szCs w:val="20"/>
        </w:rPr>
      </w:pPr>
      <w:hyperlink r:id="rId35">
        <w:r>
          <w:rPr>
            <w:rStyle w:val="Style3"/>
            <w:rFonts w:eastAsia="Times New Roman" w:cs="Times New Roman" w:ascii="Times New Roman" w:hAnsi="Times New Roman"/>
            <w:color w:val="1155CC"/>
            <w:sz w:val="20"/>
            <w:szCs w:val="20"/>
            <w:u w:val="single"/>
          </w:rPr>
          <w:t>[CAO18]</w:t>
        </w:r>
      </w:hyperlink>
      <w:r>
        <w:rPr>
          <w:rFonts w:eastAsia="Times New Roman" w:cs="Times New Roman" w:ascii="Times New Roman" w:hAnsi="Times New Roman"/>
          <w:sz w:val="20"/>
          <w:szCs w:val="20"/>
        </w:rPr>
        <w:t xml:space="preserve"> Y. Cao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Nature </w:t>
      </w:r>
      <w:r>
        <w:rPr>
          <w:rFonts w:eastAsia="Times New Roman" w:cs="Times New Roman" w:ascii="Times New Roman" w:hAnsi="Times New Roman"/>
          <w:b/>
          <w:bCs/>
          <w:sz w:val="20"/>
          <w:szCs w:val="20"/>
        </w:rPr>
        <w:t>556</w:t>
      </w:r>
      <w:r>
        <w:rPr>
          <w:rFonts w:eastAsia="Times New Roman" w:cs="Times New Roman" w:ascii="Times New Roman" w:hAnsi="Times New Roman"/>
          <w:sz w:val="20"/>
          <w:szCs w:val="20"/>
        </w:rPr>
        <w:t>, 43 (2018).</w:t>
      </w:r>
      <w:r>
        <w:rPr>
          <w:rFonts w:eastAsia="Times New Roman" w:cs="Times New Roman" w:ascii="Times New Roman" w:hAnsi="Times New Roman"/>
          <w:color w:val="222222"/>
          <w:sz w:val="20"/>
          <w:szCs w:val="20"/>
        </w:rPr>
        <w:tab/>
        <w:t xml:space="preserve"> </w:t>
        <w:tab/>
        <w:t xml:space="preserve"> </w:t>
        <w:tab/>
        <w:t xml:space="preserve"> </w:t>
        <w:tab/>
      </w:r>
    </w:p>
    <w:p>
      <w:pPr>
        <w:pStyle w:val="Normal"/>
        <w:spacing w:lineRule="auto" w:line="240" w:before="0" w:after="0"/>
        <w:rPr>
          <w:rFonts w:ascii="Times New Roman" w:hAnsi="Times New Roman" w:eastAsia="Times New Roman" w:cs="Times New Roman"/>
          <w:sz w:val="20"/>
          <w:szCs w:val="20"/>
        </w:rPr>
      </w:pPr>
      <w:hyperlink r:id="rId36">
        <w:r>
          <w:rPr>
            <w:rStyle w:val="Style3"/>
            <w:rFonts w:eastAsia="Times New Roman" w:cs="Times New Roman" w:ascii="Times New Roman" w:hAnsi="Times New Roman"/>
            <w:color w:val="0000FF"/>
            <w:sz w:val="20"/>
            <w:szCs w:val="20"/>
            <w:u w:val="single"/>
          </w:rPr>
          <w:t>[CAR24]</w:t>
        </w:r>
      </w:hyperlink>
      <w:r>
        <w:rPr>
          <w:rFonts w:eastAsia="Times New Roman" w:cs="Times New Roman" w:ascii="Times New Roman" w:hAnsi="Times New Roman"/>
          <w:color w:val="222222"/>
          <w:sz w:val="20"/>
          <w:szCs w:val="20"/>
        </w:rPr>
        <w:t xml:space="preserve"> J. M. Caridad </w:t>
      </w:r>
      <w:r>
        <w:rPr>
          <w:rFonts w:eastAsia="Times New Roman" w:cs="Times New Roman" w:ascii="Times New Roman" w:hAnsi="Times New Roman"/>
          <w:i/>
          <w:iCs/>
          <w:color w:val="222222"/>
          <w:sz w:val="20"/>
          <w:szCs w:val="20"/>
        </w:rPr>
        <w:t>et al.</w:t>
      </w:r>
      <w:r>
        <w:rPr>
          <w:rFonts w:eastAsia="Times New Roman" w:cs="Times New Roman" w:ascii="Times New Roman" w:hAnsi="Times New Roman"/>
          <w:color w:val="222222"/>
          <w:sz w:val="20"/>
          <w:szCs w:val="20"/>
        </w:rPr>
        <w:t xml:space="preserve"> Nano Lett. </w:t>
      </w:r>
      <w:r>
        <w:rPr>
          <w:rFonts w:eastAsia="Times New Roman" w:cs="Times New Roman" w:ascii="Times New Roman" w:hAnsi="Times New Roman"/>
          <w:b/>
          <w:bCs/>
          <w:color w:val="222222"/>
          <w:sz w:val="20"/>
          <w:szCs w:val="20"/>
        </w:rPr>
        <w:t>24</w:t>
      </w:r>
      <w:r>
        <w:rPr>
          <w:rFonts w:eastAsia="Times New Roman" w:cs="Times New Roman" w:ascii="Times New Roman" w:hAnsi="Times New Roman"/>
          <w:color w:val="222222"/>
          <w:sz w:val="20"/>
          <w:szCs w:val="20"/>
        </w:rPr>
        <w:t>, 935 (2024).</w:t>
      </w:r>
    </w:p>
    <w:p>
      <w:pPr>
        <w:pStyle w:val="Normal"/>
        <w:spacing w:lineRule="auto" w:line="240" w:before="0" w:after="0"/>
        <w:rPr>
          <w:rFonts w:ascii="Times New Roman" w:hAnsi="Times New Roman" w:eastAsia="Times New Roman" w:cs="Times New Roman"/>
          <w:sz w:val="20"/>
          <w:szCs w:val="20"/>
        </w:rPr>
      </w:pPr>
      <w:hyperlink r:id="rId37">
        <w:r>
          <w:rPr>
            <w:rStyle w:val="Style3"/>
            <w:rFonts w:eastAsia="Times New Roman" w:cs="Times New Roman" w:ascii="Times New Roman" w:hAnsi="Times New Roman"/>
            <w:color w:val="1155CC"/>
            <w:sz w:val="20"/>
            <w:szCs w:val="20"/>
            <w:u w:val="single"/>
          </w:rPr>
          <w:t>[CHI17]</w:t>
        </w:r>
      </w:hyperlink>
      <w:r>
        <w:rPr>
          <w:rFonts w:eastAsia="Times New Roman" w:cs="Times New Roman" w:ascii="Times New Roman" w:hAnsi="Times New Roman"/>
          <w:sz w:val="20"/>
          <w:szCs w:val="20"/>
        </w:rPr>
        <w:t xml:space="preserve"> L. Chico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Rev. Appl. </w:t>
      </w:r>
      <w:r>
        <w:rPr>
          <w:rFonts w:eastAsia="Times New Roman" w:cs="Times New Roman" w:ascii="Times New Roman" w:hAnsi="Times New Roman"/>
          <w:b/>
          <w:bCs/>
          <w:sz w:val="20"/>
          <w:szCs w:val="20"/>
        </w:rPr>
        <w:t>8</w:t>
      </w:r>
      <w:r>
        <w:rPr>
          <w:rFonts w:eastAsia="Times New Roman" w:cs="Times New Roman" w:ascii="Times New Roman" w:hAnsi="Times New Roman"/>
          <w:sz w:val="20"/>
          <w:szCs w:val="20"/>
        </w:rPr>
        <w:t xml:space="preserve">, 054029 (2017). </w:t>
      </w:r>
    </w:p>
    <w:p>
      <w:pPr>
        <w:pStyle w:val="Normal"/>
        <w:spacing w:lineRule="auto" w:line="240" w:before="0" w:after="0"/>
        <w:rPr>
          <w:rFonts w:ascii="Times New Roman" w:hAnsi="Times New Roman" w:eastAsia="Times New Roman" w:cs="Times New Roman"/>
          <w:sz w:val="20"/>
          <w:szCs w:val="20"/>
        </w:rPr>
      </w:pPr>
      <w:hyperlink r:id="rId38">
        <w:r>
          <w:rPr>
            <w:rStyle w:val="Style3"/>
            <w:rFonts w:eastAsia="Times New Roman" w:cs="Times New Roman" w:ascii="Times New Roman" w:hAnsi="Times New Roman"/>
            <w:color w:val="1155CC"/>
            <w:sz w:val="20"/>
            <w:szCs w:val="20"/>
            <w:u w:val="single"/>
          </w:rPr>
          <w:t>[COR21]</w:t>
        </w:r>
      </w:hyperlink>
      <w:r>
        <w:rPr>
          <w:rFonts w:eastAsia="Times New Roman" w:cs="Times New Roman" w:ascii="Times New Roman" w:hAnsi="Times New Roman"/>
          <w:sz w:val="20"/>
          <w:szCs w:val="20"/>
        </w:rPr>
        <w:t xml:space="preserve"> A. L. Corps and A. Relaño, Phys. Rev. Lett. </w:t>
      </w:r>
      <w:r>
        <w:rPr>
          <w:rFonts w:eastAsia="Times New Roman" w:cs="Times New Roman" w:ascii="Times New Roman" w:hAnsi="Times New Roman"/>
          <w:b/>
          <w:bCs/>
          <w:sz w:val="20"/>
          <w:szCs w:val="20"/>
        </w:rPr>
        <w:t>127</w:t>
      </w:r>
      <w:r>
        <w:rPr>
          <w:rFonts w:eastAsia="Times New Roman" w:cs="Times New Roman" w:ascii="Times New Roman" w:hAnsi="Times New Roman"/>
          <w:sz w:val="20"/>
          <w:szCs w:val="20"/>
        </w:rPr>
        <w:t>, 130602 (2021).</w:t>
      </w:r>
    </w:p>
    <w:p>
      <w:pPr>
        <w:pStyle w:val="Normal"/>
        <w:spacing w:lineRule="auto" w:line="240" w:before="0" w:after="0"/>
        <w:rPr>
          <w:rFonts w:ascii="Times New Roman" w:hAnsi="Times New Roman" w:eastAsia="Times New Roman" w:cs="Times New Roman"/>
          <w:sz w:val="20"/>
          <w:szCs w:val="20"/>
        </w:rPr>
      </w:pPr>
      <w:hyperlink r:id="rId39">
        <w:r>
          <w:rPr>
            <w:rStyle w:val="Style3"/>
            <w:rFonts w:eastAsia="Times New Roman" w:cs="Times New Roman" w:ascii="Times New Roman" w:hAnsi="Times New Roman"/>
            <w:color w:val="1155CC"/>
            <w:sz w:val="20"/>
            <w:szCs w:val="20"/>
            <w:u w:val="single"/>
          </w:rPr>
          <w:t>[DEL22]</w:t>
        </w:r>
      </w:hyperlink>
      <w:r>
        <w:rPr>
          <w:rFonts w:eastAsia="Times New Roman" w:cs="Times New Roman" w:ascii="Times New Roman" w:hAnsi="Times New Roman"/>
          <w:sz w:val="20"/>
          <w:szCs w:val="20"/>
        </w:rPr>
        <w:t xml:space="preserve"> J. A. Delgado-Notario </w:t>
      </w:r>
      <w:r>
        <w:rPr>
          <w:rFonts w:eastAsia="Times New Roman" w:cs="Times New Roman" w:ascii="Times New Roman" w:hAnsi="Times New Roman"/>
          <w:i/>
          <w:iCs/>
          <w:sz w:val="20"/>
          <w:szCs w:val="20"/>
        </w:rPr>
        <w:t xml:space="preserve">et al. </w:t>
      </w:r>
      <w:r>
        <w:rPr>
          <w:rFonts w:eastAsia="Times New Roman" w:cs="Times New Roman" w:ascii="Times New Roman" w:hAnsi="Times New Roman"/>
          <w:sz w:val="20"/>
          <w:szCs w:val="20"/>
        </w:rPr>
        <w:t xml:space="preserve">Nanophotonics </w:t>
      </w:r>
      <w:r>
        <w:rPr>
          <w:rFonts w:eastAsia="Times New Roman" w:cs="Times New Roman" w:ascii="Times New Roman" w:hAnsi="Times New Roman"/>
          <w:b/>
          <w:bCs/>
          <w:sz w:val="20"/>
          <w:szCs w:val="20"/>
        </w:rPr>
        <w:t>11</w:t>
      </w:r>
      <w:r>
        <w:rPr>
          <w:rFonts w:eastAsia="Times New Roman" w:cs="Times New Roman" w:ascii="Times New Roman" w:hAnsi="Times New Roman"/>
          <w:sz w:val="20"/>
          <w:szCs w:val="20"/>
        </w:rPr>
        <w:t>, 519 (2022).</w:t>
      </w:r>
    </w:p>
    <w:p>
      <w:pPr>
        <w:pStyle w:val="Normal"/>
        <w:spacing w:lineRule="auto" w:line="240" w:before="0" w:after="0"/>
        <w:rPr>
          <w:rFonts w:ascii="Times New Roman" w:hAnsi="Times New Roman" w:eastAsia="Times New Roman" w:cs="Times New Roman"/>
          <w:sz w:val="20"/>
          <w:szCs w:val="20"/>
        </w:rPr>
      </w:pPr>
      <w:hyperlink r:id="rId40">
        <w:r>
          <w:rPr>
            <w:rStyle w:val="Style3"/>
            <w:rFonts w:eastAsia="Times New Roman" w:cs="Times New Roman" w:ascii="Times New Roman" w:hAnsi="Times New Roman"/>
            <w:color w:val="1155CC"/>
            <w:sz w:val="20"/>
            <w:szCs w:val="20"/>
            <w:u w:val="single"/>
          </w:rPr>
          <w:t>[DU23]</w:t>
        </w:r>
      </w:hyperlink>
      <w:r>
        <w:rPr>
          <w:rFonts w:eastAsia="Times New Roman" w:cs="Times New Roman" w:ascii="Times New Roman" w:hAnsi="Times New Roman"/>
          <w:sz w:val="20"/>
          <w:szCs w:val="20"/>
        </w:rPr>
        <w:t xml:space="preserve"> P.-H. Du  </w:t>
      </w:r>
      <w:r>
        <w:rPr>
          <w:rFonts w:eastAsia="Times New Roman" w:cs="Times New Roman" w:ascii="Times New Roman" w:hAnsi="Times New Roman"/>
          <w:i/>
          <w:iCs/>
          <w:sz w:val="20"/>
          <w:szCs w:val="20"/>
        </w:rPr>
        <w:t xml:space="preserve">et al. </w:t>
      </w:r>
      <w:r>
        <w:rPr>
          <w:rFonts w:eastAsia="Times New Roman" w:cs="Times New Roman" w:ascii="Times New Roman" w:hAnsi="Times New Roman"/>
          <w:sz w:val="20"/>
          <w:szCs w:val="20"/>
        </w:rPr>
        <w:t xml:space="preserve">Mater. Today Phys. </w:t>
      </w:r>
      <w:r>
        <w:rPr>
          <w:rFonts w:eastAsia="Times New Roman" w:cs="Times New Roman" w:ascii="Times New Roman" w:hAnsi="Times New Roman"/>
          <w:b/>
          <w:bCs/>
          <w:sz w:val="20"/>
          <w:szCs w:val="20"/>
        </w:rPr>
        <w:t>38</w:t>
      </w:r>
      <w:r>
        <w:rPr>
          <w:rFonts w:eastAsia="Times New Roman" w:cs="Times New Roman" w:ascii="Times New Roman" w:hAnsi="Times New Roman"/>
          <w:sz w:val="20"/>
          <w:szCs w:val="20"/>
        </w:rPr>
        <w:t>, 101259 (2023)</w:t>
      </w:r>
    </w:p>
    <w:p>
      <w:pPr>
        <w:pStyle w:val="Normal"/>
        <w:spacing w:lineRule="auto" w:line="240" w:before="0" w:after="0"/>
        <w:rPr>
          <w:rFonts w:ascii="Times New Roman" w:hAnsi="Times New Roman" w:eastAsia="Times New Roman" w:cs="Times New Roman"/>
          <w:sz w:val="20"/>
          <w:szCs w:val="20"/>
        </w:rPr>
      </w:pPr>
      <w:hyperlink r:id="rId41">
        <w:r>
          <w:rPr>
            <w:rStyle w:val="Style3"/>
            <w:rFonts w:eastAsia="Times New Roman" w:cs="Times New Roman" w:ascii="Times New Roman" w:hAnsi="Times New Roman"/>
            <w:color w:val="1155CC"/>
            <w:sz w:val="20"/>
            <w:szCs w:val="20"/>
            <w:u w:val="single"/>
          </w:rPr>
          <w:t>[DYA93]</w:t>
        </w:r>
      </w:hyperlink>
      <w:r>
        <w:rPr>
          <w:rFonts w:eastAsia="Times New Roman" w:cs="Times New Roman" w:ascii="Times New Roman" w:hAnsi="Times New Roman"/>
          <w:sz w:val="20"/>
          <w:szCs w:val="20"/>
        </w:rPr>
        <w:t xml:space="preserve"> M. Dyakonov and M. Shur. Phys. Rev. Lett. </w:t>
      </w:r>
      <w:r>
        <w:rPr>
          <w:rFonts w:eastAsia="Times New Roman" w:cs="Times New Roman" w:ascii="Times New Roman" w:hAnsi="Times New Roman"/>
          <w:b/>
          <w:bCs/>
          <w:sz w:val="20"/>
          <w:szCs w:val="20"/>
        </w:rPr>
        <w:t>71</w:t>
      </w:r>
      <w:r>
        <w:rPr>
          <w:rFonts w:eastAsia="Times New Roman" w:cs="Times New Roman" w:ascii="Times New Roman" w:hAnsi="Times New Roman"/>
          <w:sz w:val="20"/>
          <w:szCs w:val="20"/>
        </w:rPr>
        <w:t>, 2465 (1993).</w:t>
      </w:r>
    </w:p>
    <w:p>
      <w:pPr>
        <w:pStyle w:val="Normal"/>
        <w:spacing w:lineRule="auto" w:line="240" w:before="0" w:after="0"/>
        <w:rPr>
          <w:rFonts w:ascii="Times New Roman" w:hAnsi="Times New Roman" w:eastAsia="Times New Roman" w:cs="Times New Roman"/>
          <w:sz w:val="20"/>
          <w:szCs w:val="20"/>
        </w:rPr>
      </w:pPr>
      <w:hyperlink r:id="rId42">
        <w:r>
          <w:rPr>
            <w:rStyle w:val="Style3"/>
            <w:rFonts w:eastAsia="Times New Roman" w:cs="Times New Roman" w:ascii="Times New Roman" w:hAnsi="Times New Roman"/>
            <w:color w:val="1155CC"/>
            <w:sz w:val="20"/>
            <w:szCs w:val="20"/>
            <w:u w:val="single"/>
          </w:rPr>
          <w:t>[ELS16]</w:t>
        </w:r>
      </w:hyperlink>
      <w:r>
        <w:rPr>
          <w:rFonts w:eastAsia="Times New Roman" w:cs="Times New Roman" w:ascii="Times New Roman" w:hAnsi="Times New Roman"/>
          <w:sz w:val="20"/>
          <w:szCs w:val="20"/>
        </w:rPr>
        <w:t xml:space="preserve"> D. V. Else </w:t>
      </w:r>
      <w:r>
        <w:rPr>
          <w:rFonts w:eastAsia="Times New Roman" w:cs="Times New Roman" w:ascii="Times New Roman" w:hAnsi="Times New Roman"/>
          <w:i/>
          <w:iCs/>
          <w:sz w:val="20"/>
          <w:szCs w:val="20"/>
        </w:rPr>
        <w:t>at al</w:t>
      </w:r>
      <w:r>
        <w:rPr>
          <w:rFonts w:eastAsia="Times New Roman" w:cs="Times New Roman" w:ascii="Times New Roman" w:hAnsi="Times New Roman"/>
          <w:sz w:val="20"/>
          <w:szCs w:val="20"/>
        </w:rPr>
        <w:t xml:space="preserve">. Phys. Rev. Lett. </w:t>
      </w:r>
      <w:r>
        <w:rPr>
          <w:rFonts w:eastAsia="Times New Roman" w:cs="Times New Roman" w:ascii="Times New Roman" w:hAnsi="Times New Roman"/>
          <w:b/>
          <w:bCs/>
          <w:sz w:val="20"/>
          <w:szCs w:val="20"/>
        </w:rPr>
        <w:t>117</w:t>
      </w:r>
      <w:r>
        <w:rPr>
          <w:rFonts w:eastAsia="Times New Roman" w:cs="Times New Roman" w:ascii="Times New Roman" w:hAnsi="Times New Roman"/>
          <w:sz w:val="20"/>
          <w:szCs w:val="20"/>
        </w:rPr>
        <w:t>, 090402 (2016).</w:t>
        <w:br/>
      </w:r>
      <w:hyperlink r:id="rId43">
        <w:r>
          <w:rPr>
            <w:rStyle w:val="Style3"/>
            <w:rFonts w:eastAsia="Times New Roman" w:cs="Times New Roman" w:ascii="Times New Roman" w:hAnsi="Times New Roman"/>
            <w:color w:val="1155CC"/>
            <w:sz w:val="20"/>
            <w:szCs w:val="20"/>
            <w:u w:val="single"/>
          </w:rPr>
          <w:t>[EST24a]</w:t>
        </w:r>
      </w:hyperlink>
      <w:r>
        <w:rPr>
          <w:rFonts w:eastAsia="Times New Roman" w:cs="Times New Roman" w:ascii="Times New Roman" w:hAnsi="Times New Roman"/>
          <w:sz w:val="20"/>
          <w:szCs w:val="20"/>
        </w:rPr>
        <w:t xml:space="preserve"> J. Estrada-Álvarez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Commun. Phys. </w:t>
      </w:r>
      <w:r>
        <w:rPr>
          <w:rFonts w:eastAsia="Times New Roman" w:cs="Times New Roman" w:ascii="Times New Roman" w:hAnsi="Times New Roman"/>
          <w:b/>
          <w:bCs/>
          <w:sz w:val="20"/>
          <w:szCs w:val="20"/>
        </w:rPr>
        <w:t>7</w:t>
      </w:r>
      <w:r>
        <w:rPr>
          <w:rFonts w:eastAsia="Times New Roman" w:cs="Times New Roman" w:ascii="Times New Roman" w:hAnsi="Times New Roman"/>
          <w:sz w:val="20"/>
          <w:szCs w:val="20"/>
        </w:rPr>
        <w:t>, 138 (2024).</w:t>
      </w:r>
    </w:p>
    <w:p>
      <w:pPr>
        <w:pStyle w:val="Normal"/>
        <w:spacing w:lineRule="auto" w:line="240" w:before="0" w:after="0"/>
        <w:rPr>
          <w:rFonts w:ascii="Times New Roman" w:hAnsi="Times New Roman" w:eastAsia="Times New Roman" w:cs="Times New Roman"/>
          <w:sz w:val="20"/>
          <w:szCs w:val="20"/>
        </w:rPr>
      </w:pPr>
      <w:hyperlink r:id="rId44">
        <w:r>
          <w:rPr>
            <w:rStyle w:val="Style3"/>
            <w:rFonts w:eastAsia="Times New Roman" w:cs="Times New Roman" w:ascii="Times New Roman" w:hAnsi="Times New Roman"/>
            <w:color w:val="1155CC"/>
            <w:sz w:val="20"/>
            <w:szCs w:val="20"/>
            <w:u w:val="single"/>
          </w:rPr>
          <w:t>[EST24b]</w:t>
        </w:r>
      </w:hyperlink>
      <w:r>
        <w:rPr>
          <w:rFonts w:eastAsia="Times New Roman" w:cs="Times New Roman" w:ascii="Times New Roman" w:hAnsi="Times New Roman"/>
          <w:sz w:val="20"/>
          <w:szCs w:val="20"/>
        </w:rPr>
        <w:t xml:space="preserve"> J. Estrada-Álvarez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2D Materials </w:t>
      </w:r>
      <w:r>
        <w:rPr>
          <w:rFonts w:eastAsia="Times New Roman" w:cs="Times New Roman" w:ascii="Times New Roman" w:hAnsi="Times New Roman"/>
          <w:b/>
          <w:bCs/>
          <w:sz w:val="20"/>
          <w:szCs w:val="20"/>
        </w:rPr>
        <w:t>12</w:t>
      </w:r>
      <w:r>
        <w:rPr>
          <w:rFonts w:eastAsia="Times New Roman" w:cs="Times New Roman" w:ascii="Times New Roman" w:hAnsi="Times New Roman"/>
          <w:sz w:val="20"/>
          <w:szCs w:val="20"/>
        </w:rPr>
        <w:t>, 015012 (2024).</w:t>
      </w:r>
    </w:p>
    <w:p>
      <w:pPr>
        <w:pStyle w:val="Normal"/>
        <w:spacing w:lineRule="auto" w:line="240" w:before="0" w:after="0"/>
        <w:rPr>
          <w:rFonts w:ascii="Times New Roman" w:hAnsi="Times New Roman" w:eastAsia="Times New Roman" w:cs="Times New Roman"/>
          <w:sz w:val="20"/>
          <w:szCs w:val="20"/>
        </w:rPr>
      </w:pPr>
      <w:hyperlink r:id="rId45">
        <w:r>
          <w:rPr>
            <w:rStyle w:val="Style3"/>
            <w:rFonts w:eastAsia="Times New Roman" w:cs="Times New Roman" w:ascii="Times New Roman" w:hAnsi="Times New Roman"/>
            <w:color w:val="1155CC"/>
            <w:sz w:val="20"/>
            <w:szCs w:val="20"/>
            <w:u w:val="single"/>
          </w:rPr>
          <w:t>[EST24c]</w:t>
        </w:r>
      </w:hyperlink>
      <w:r>
        <w:rPr>
          <w:rFonts w:eastAsia="Times New Roman" w:cs="Times New Roman" w:ascii="Times New Roman" w:hAnsi="Times New Roman"/>
          <w:sz w:val="20"/>
          <w:szCs w:val="20"/>
        </w:rPr>
        <w:t xml:space="preserve"> J. Estrada-Álvarez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Revista Española de Física </w:t>
      </w:r>
      <w:r>
        <w:rPr>
          <w:rFonts w:eastAsia="Times New Roman" w:cs="Times New Roman" w:ascii="Times New Roman" w:hAnsi="Times New Roman"/>
          <w:b/>
          <w:bCs/>
          <w:sz w:val="20"/>
          <w:szCs w:val="20"/>
        </w:rPr>
        <w:t xml:space="preserve">38 </w:t>
      </w:r>
      <w:r>
        <w:rPr>
          <w:rFonts w:eastAsia="Times New Roman" w:cs="Times New Roman" w:ascii="Times New Roman" w:hAnsi="Times New Roman"/>
          <w:sz w:val="20"/>
          <w:szCs w:val="20"/>
        </w:rPr>
        <w:t>(4) (2024).</w:t>
      </w:r>
    </w:p>
    <w:p>
      <w:pPr>
        <w:pStyle w:val="Normal"/>
        <w:spacing w:lineRule="auto" w:line="240" w:before="0" w:after="0"/>
        <w:rPr>
          <w:rFonts w:ascii="Times New Roman" w:hAnsi="Times New Roman" w:eastAsia="Times New Roman" w:cs="Times New Roman"/>
          <w:sz w:val="20"/>
          <w:szCs w:val="20"/>
        </w:rPr>
      </w:pPr>
      <w:hyperlink r:id="rId46">
        <w:r>
          <w:rPr>
            <w:rStyle w:val="Style3"/>
            <w:rFonts w:eastAsia="Times New Roman" w:cs="Times New Roman" w:ascii="Times New Roman" w:hAnsi="Times New Roman"/>
            <w:color w:val="1155CC"/>
            <w:sz w:val="20"/>
            <w:szCs w:val="20"/>
            <w:u w:val="single"/>
          </w:rPr>
          <w:t>[EST25a]</w:t>
        </w:r>
      </w:hyperlink>
      <w:r>
        <w:rPr>
          <w:rFonts w:eastAsia="Times New Roman" w:cs="Times New Roman" w:ascii="Times New Roman" w:hAnsi="Times New Roman"/>
          <w:sz w:val="20"/>
          <w:szCs w:val="20"/>
        </w:rPr>
        <w:t xml:space="preserve"> J. Estrada-Álvarez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Rev. X </w:t>
      </w:r>
      <w:r>
        <w:rPr>
          <w:rFonts w:eastAsia="Times New Roman" w:cs="Times New Roman" w:ascii="Times New Roman" w:hAnsi="Times New Roman"/>
          <w:b/>
          <w:bCs/>
          <w:sz w:val="20"/>
          <w:szCs w:val="20"/>
        </w:rPr>
        <w:t>15</w:t>
      </w:r>
      <w:r>
        <w:rPr>
          <w:rFonts w:eastAsia="Times New Roman" w:cs="Times New Roman" w:ascii="Times New Roman" w:hAnsi="Times New Roman"/>
          <w:sz w:val="20"/>
          <w:szCs w:val="20"/>
        </w:rPr>
        <w:t>, 011039 (2025).</w:t>
      </w:r>
    </w:p>
    <w:p>
      <w:pPr>
        <w:pStyle w:val="Normal"/>
        <w:spacing w:lineRule="auto" w:line="240" w:before="0" w:after="0"/>
        <w:rPr>
          <w:rFonts w:ascii="Times New Roman" w:hAnsi="Times New Roman" w:eastAsia="Times New Roman" w:cs="Times New Roman"/>
          <w:sz w:val="20"/>
          <w:szCs w:val="20"/>
        </w:rPr>
      </w:pPr>
      <w:hyperlink r:id="rId47">
        <w:r>
          <w:rPr>
            <w:rStyle w:val="Style3"/>
            <w:rFonts w:eastAsia="Times New Roman" w:cs="Times New Roman" w:ascii="Times New Roman" w:hAnsi="Times New Roman"/>
            <w:color w:val="1155CC"/>
            <w:sz w:val="20"/>
            <w:szCs w:val="20"/>
            <w:u w:val="single"/>
          </w:rPr>
          <w:t>[EST25b]</w:t>
        </w:r>
      </w:hyperlink>
      <w:r>
        <w:rPr>
          <w:rFonts w:eastAsia="Times New Roman" w:cs="Times New Roman" w:ascii="Times New Roman" w:hAnsi="Times New Roman"/>
          <w:sz w:val="20"/>
          <w:szCs w:val="20"/>
        </w:rPr>
        <w:t xml:space="preserve"> J. Estrada-Álvarez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Phys. Rev. Res.</w:t>
      </w:r>
      <w:r>
        <w:rPr>
          <w:rFonts w:eastAsia="Times New Roman" w:cs="Times New Roman" w:ascii="Times New Roman" w:hAnsi="Times New Roman"/>
          <w:b/>
          <w:bCs/>
          <w:sz w:val="20"/>
          <w:szCs w:val="20"/>
        </w:rPr>
        <w:t xml:space="preserve"> 7</w:t>
      </w:r>
      <w:r>
        <w:rPr>
          <w:rFonts w:eastAsia="Times New Roman" w:cs="Times New Roman" w:ascii="Times New Roman" w:hAnsi="Times New Roman"/>
          <w:sz w:val="20"/>
          <w:szCs w:val="20"/>
        </w:rPr>
        <w:t>, 013087 (2025).</w:t>
      </w:r>
    </w:p>
    <w:p>
      <w:pPr>
        <w:pStyle w:val="Normal"/>
        <w:spacing w:lineRule="auto" w:line="240" w:before="0" w:after="0"/>
        <w:rPr>
          <w:rFonts w:ascii="Times New Roman" w:hAnsi="Times New Roman" w:eastAsia="Times New Roman" w:cs="Times New Roman"/>
          <w:sz w:val="20"/>
          <w:szCs w:val="20"/>
        </w:rPr>
      </w:pPr>
      <w:hyperlink r:id="rId48">
        <w:r>
          <w:rPr>
            <w:rStyle w:val="Style3"/>
            <w:rFonts w:eastAsia="Times New Roman" w:cs="Times New Roman" w:ascii="Times New Roman" w:hAnsi="Times New Roman"/>
            <w:color w:val="1155CC"/>
            <w:sz w:val="20"/>
            <w:szCs w:val="20"/>
            <w:u w:val="single"/>
          </w:rPr>
          <w:t>[EST25c]</w:t>
        </w:r>
      </w:hyperlink>
      <w:r>
        <w:rPr>
          <w:rFonts w:eastAsia="Times New Roman" w:cs="Times New Roman" w:ascii="Times New Roman" w:hAnsi="Times New Roman"/>
          <w:sz w:val="20"/>
          <w:szCs w:val="20"/>
        </w:rPr>
        <w:t xml:space="preserve"> J. Estrada-Álvarez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Rev. B </w:t>
      </w:r>
      <w:r>
        <w:rPr>
          <w:rFonts w:eastAsia="Times New Roman" w:cs="Times New Roman" w:ascii="Times New Roman" w:hAnsi="Times New Roman"/>
          <w:b/>
          <w:bCs/>
          <w:sz w:val="20"/>
          <w:szCs w:val="20"/>
        </w:rPr>
        <w:t>111</w:t>
      </w:r>
      <w:r>
        <w:rPr>
          <w:rFonts w:eastAsia="Times New Roman" w:cs="Times New Roman" w:ascii="Times New Roman" w:hAnsi="Times New Roman"/>
          <w:sz w:val="20"/>
          <w:szCs w:val="20"/>
        </w:rPr>
        <w:t>, 075401 (2025).</w:t>
      </w:r>
    </w:p>
    <w:p>
      <w:pPr>
        <w:pStyle w:val="Normal"/>
        <w:spacing w:lineRule="auto" w:line="240" w:before="0" w:after="0"/>
        <w:rPr>
          <w:rFonts w:ascii="Times New Roman" w:hAnsi="Times New Roman" w:eastAsia="Times New Roman" w:cs="Times New Roman"/>
          <w:sz w:val="20"/>
          <w:szCs w:val="20"/>
        </w:rPr>
      </w:pPr>
      <w:hyperlink r:id="rId49">
        <w:r>
          <w:rPr>
            <w:rStyle w:val="Style3"/>
            <w:rFonts w:eastAsia="Times New Roman" w:cs="Times New Roman" w:ascii="Times New Roman" w:hAnsi="Times New Roman"/>
            <w:color w:val="1155CC"/>
            <w:sz w:val="20"/>
            <w:szCs w:val="20"/>
            <w:u w:val="single"/>
          </w:rPr>
          <w:t>[EST25d]</w:t>
        </w:r>
      </w:hyperlink>
      <w:r>
        <w:rPr>
          <w:rFonts w:eastAsia="Times New Roman" w:cs="Times New Roman" w:ascii="Times New Roman" w:hAnsi="Times New Roman"/>
          <w:sz w:val="20"/>
          <w:szCs w:val="20"/>
        </w:rPr>
        <w:t xml:space="preserve"> J. Estrada-Álvarez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Sci. Rep. </w:t>
      </w:r>
      <w:r>
        <w:rPr>
          <w:rFonts w:eastAsia="Times New Roman" w:cs="Times New Roman" w:ascii="Times New Roman" w:hAnsi="Times New Roman"/>
          <w:b/>
          <w:bCs/>
          <w:sz w:val="20"/>
          <w:szCs w:val="20"/>
        </w:rPr>
        <w:t>15</w:t>
      </w:r>
      <w:r>
        <w:rPr>
          <w:rFonts w:eastAsia="Times New Roman" w:cs="Times New Roman" w:ascii="Times New Roman" w:hAnsi="Times New Roman"/>
          <w:sz w:val="20"/>
          <w:szCs w:val="20"/>
        </w:rPr>
        <w:t>, 38326 (2025).</w:t>
      </w:r>
    </w:p>
    <w:p>
      <w:pPr>
        <w:pStyle w:val="Normal"/>
        <w:spacing w:lineRule="auto" w:line="240" w:before="0" w:after="0"/>
        <w:rPr>
          <w:rFonts w:ascii="Times New Roman" w:hAnsi="Times New Roman" w:eastAsia="Times New Roman" w:cs="Times New Roman"/>
          <w:sz w:val="20"/>
          <w:szCs w:val="20"/>
        </w:rPr>
      </w:pPr>
      <w:hyperlink r:id="rId50">
        <w:r>
          <w:rPr>
            <w:rStyle w:val="Style3"/>
            <w:rFonts w:eastAsia="Times New Roman" w:cs="Times New Roman" w:ascii="Times New Roman" w:hAnsi="Times New Roman"/>
            <w:color w:val="1155CC"/>
            <w:sz w:val="20"/>
            <w:szCs w:val="20"/>
            <w:u w:val="single"/>
          </w:rPr>
          <w:t>[EST25e]</w:t>
        </w:r>
      </w:hyperlink>
      <w:r>
        <w:rPr>
          <w:rFonts w:eastAsia="Times New Roman" w:cs="Times New Roman" w:ascii="Times New Roman" w:hAnsi="Times New Roman"/>
          <w:sz w:val="20"/>
          <w:szCs w:val="20"/>
        </w:rPr>
        <w:t xml:space="preserve"> J. Estrada-Álvarez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Rev. Lett. </w:t>
      </w:r>
      <w:r>
        <w:rPr>
          <w:rFonts w:eastAsia="Times New Roman" w:cs="Times New Roman" w:ascii="Times New Roman" w:hAnsi="Times New Roman"/>
          <w:b/>
          <w:bCs/>
          <w:sz w:val="20"/>
          <w:szCs w:val="20"/>
        </w:rPr>
        <w:t>135</w:t>
      </w:r>
      <w:r>
        <w:rPr>
          <w:rFonts w:eastAsia="Times New Roman" w:cs="Times New Roman" w:ascii="Times New Roman" w:hAnsi="Times New Roman"/>
          <w:sz w:val="20"/>
          <w:szCs w:val="20"/>
        </w:rPr>
        <w:t>, 206301 (2025).</w:t>
      </w:r>
    </w:p>
    <w:p>
      <w:pPr>
        <w:pStyle w:val="Normal"/>
        <w:spacing w:lineRule="auto" w:line="240" w:before="0" w:after="0"/>
        <w:rPr>
          <w:rFonts w:ascii="Times New Roman" w:hAnsi="Times New Roman" w:eastAsia="Times New Roman" w:cs="Times New Roman"/>
          <w:sz w:val="20"/>
          <w:szCs w:val="20"/>
        </w:rPr>
      </w:pPr>
      <w:hyperlink r:id="rId51">
        <w:r>
          <w:rPr>
            <w:rStyle w:val="Style3"/>
            <w:rFonts w:eastAsia="Times New Roman" w:cs="Times New Roman" w:ascii="Times New Roman" w:hAnsi="Times New Roman"/>
            <w:color w:val="1155CC"/>
            <w:sz w:val="20"/>
            <w:szCs w:val="20"/>
            <w:u w:val="single"/>
          </w:rPr>
          <w:t>[FAU09]</w:t>
        </w:r>
      </w:hyperlink>
      <w:r>
        <w:rPr>
          <w:rFonts w:eastAsia="Times New Roman" w:cs="Times New Roman" w:ascii="Times New Roman" w:hAnsi="Times New Roman"/>
          <w:sz w:val="20"/>
          <w:szCs w:val="20"/>
        </w:rPr>
        <w:t xml:space="preserve"> C. Faugeras </w:t>
      </w:r>
      <w:r>
        <w:rPr>
          <w:rFonts w:eastAsia="Times New Roman" w:cs="Times New Roman" w:ascii="Times New Roman" w:hAnsi="Times New Roman"/>
          <w:i/>
          <w:iCs/>
          <w:sz w:val="20"/>
          <w:szCs w:val="20"/>
        </w:rPr>
        <w:t xml:space="preserve">et al. </w:t>
      </w:r>
      <w:r>
        <w:rPr>
          <w:rFonts w:eastAsia="Times New Roman" w:cs="Times New Roman" w:ascii="Times New Roman" w:hAnsi="Times New Roman"/>
          <w:sz w:val="20"/>
          <w:szCs w:val="20"/>
        </w:rPr>
        <w:t xml:space="preserve">Phys. Rev. Lett. </w:t>
      </w:r>
      <w:r>
        <w:rPr>
          <w:rFonts w:eastAsia="Times New Roman" w:cs="Times New Roman" w:ascii="Times New Roman" w:hAnsi="Times New Roman"/>
          <w:b/>
          <w:bCs/>
          <w:sz w:val="20"/>
          <w:szCs w:val="20"/>
        </w:rPr>
        <w:t>103</w:t>
      </w:r>
      <w:r>
        <w:rPr>
          <w:rFonts w:eastAsia="Times New Roman" w:cs="Times New Roman" w:ascii="Times New Roman" w:hAnsi="Times New Roman"/>
          <w:sz w:val="20"/>
          <w:szCs w:val="20"/>
        </w:rPr>
        <w:t>, 186803 (2009).</w:t>
      </w:r>
    </w:p>
    <w:p>
      <w:pPr>
        <w:pStyle w:val="Normal"/>
        <w:spacing w:lineRule="auto" w:line="240" w:before="0" w:after="0"/>
        <w:rPr>
          <w:rFonts w:ascii="Times New Roman" w:hAnsi="Times New Roman" w:eastAsia="Times New Roman" w:cs="Times New Roman"/>
          <w:sz w:val="20"/>
          <w:szCs w:val="20"/>
        </w:rPr>
      </w:pPr>
      <w:hyperlink r:id="rId52">
        <w:r>
          <w:rPr>
            <w:rStyle w:val="Style3"/>
            <w:rFonts w:eastAsia="Times New Roman" w:cs="Times New Roman" w:ascii="Times New Roman" w:hAnsi="Times New Roman"/>
            <w:color w:val="1155CC"/>
            <w:sz w:val="20"/>
            <w:szCs w:val="20"/>
            <w:u w:val="single"/>
          </w:rPr>
          <w:t>[FAU11]</w:t>
        </w:r>
      </w:hyperlink>
      <w:r>
        <w:rPr>
          <w:rFonts w:eastAsia="Times New Roman" w:cs="Times New Roman" w:ascii="Times New Roman" w:hAnsi="Times New Roman"/>
          <w:sz w:val="20"/>
          <w:szCs w:val="20"/>
        </w:rPr>
        <w:t xml:space="preserve"> C. Faugeras </w:t>
      </w:r>
      <w:r>
        <w:rPr>
          <w:rFonts w:eastAsia="Times New Roman" w:cs="Times New Roman" w:ascii="Times New Roman" w:hAnsi="Times New Roman"/>
          <w:i/>
          <w:iCs/>
          <w:sz w:val="20"/>
          <w:szCs w:val="20"/>
        </w:rPr>
        <w:t xml:space="preserve">et al. </w:t>
      </w:r>
      <w:r>
        <w:rPr>
          <w:rFonts w:eastAsia="Times New Roman" w:cs="Times New Roman" w:ascii="Times New Roman" w:hAnsi="Times New Roman"/>
          <w:sz w:val="20"/>
          <w:szCs w:val="20"/>
        </w:rPr>
        <w:t xml:space="preserve">Phys. Rev. Lett. </w:t>
      </w:r>
      <w:r>
        <w:rPr>
          <w:rFonts w:eastAsia="Times New Roman" w:cs="Times New Roman" w:ascii="Times New Roman" w:hAnsi="Times New Roman"/>
          <w:b/>
          <w:bCs/>
          <w:sz w:val="20"/>
          <w:szCs w:val="20"/>
        </w:rPr>
        <w:t>107</w:t>
      </w:r>
      <w:r>
        <w:rPr>
          <w:rFonts w:eastAsia="Times New Roman" w:cs="Times New Roman" w:ascii="Times New Roman" w:hAnsi="Times New Roman"/>
          <w:sz w:val="20"/>
          <w:szCs w:val="20"/>
        </w:rPr>
        <w:t>, 036807 (2011).</w:t>
      </w:r>
    </w:p>
    <w:p>
      <w:pPr>
        <w:pStyle w:val="Normal"/>
        <w:spacing w:lineRule="auto" w:line="240" w:before="0" w:after="0"/>
        <w:rPr>
          <w:rFonts w:ascii="Times New Roman" w:hAnsi="Times New Roman" w:eastAsia="Times New Roman" w:cs="Times New Roman"/>
          <w:sz w:val="20"/>
          <w:szCs w:val="20"/>
          <w:vertAlign w:val="superscript"/>
        </w:rPr>
      </w:pPr>
      <w:hyperlink r:id="rId53">
        <w:r>
          <w:rPr>
            <w:rStyle w:val="Style3"/>
            <w:rFonts w:eastAsia="Times New Roman" w:cs="Times New Roman" w:ascii="Times New Roman" w:hAnsi="Times New Roman"/>
            <w:color w:val="1155CC"/>
            <w:sz w:val="20"/>
            <w:szCs w:val="20"/>
            <w:u w:val="single"/>
          </w:rPr>
          <w:t>[GAR24]</w:t>
        </w:r>
      </w:hyperlink>
      <w:r>
        <w:rPr>
          <w:rFonts w:eastAsia="Times New Roman" w:cs="Times New Roman" w:ascii="Times New Roman" w:hAnsi="Times New Roman"/>
          <w:sz w:val="20"/>
          <w:szCs w:val="20"/>
        </w:rPr>
        <w:t xml:space="preserve"> M. García Olmos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J. Phys. Mater. </w:t>
      </w:r>
      <w:r>
        <w:rPr>
          <w:rFonts w:eastAsia="Times New Roman" w:cs="Times New Roman" w:ascii="Times New Roman" w:hAnsi="Times New Roman"/>
          <w:b/>
          <w:bCs/>
          <w:sz w:val="20"/>
          <w:szCs w:val="20"/>
        </w:rPr>
        <w:t>7</w:t>
      </w:r>
      <w:r>
        <w:rPr>
          <w:rFonts w:eastAsia="Times New Roman" w:cs="Times New Roman" w:ascii="Times New Roman" w:hAnsi="Times New Roman"/>
          <w:sz w:val="20"/>
          <w:szCs w:val="20"/>
        </w:rPr>
        <w:t xml:space="preserve"> 045008  (2024)</w:t>
      </w:r>
    </w:p>
    <w:p>
      <w:pPr>
        <w:pStyle w:val="Normal"/>
        <w:spacing w:lineRule="auto" w:line="240" w:before="0" w:after="0"/>
        <w:rPr>
          <w:rFonts w:ascii="Times New Roman" w:hAnsi="Times New Roman" w:eastAsia="Times New Roman" w:cs="Times New Roman"/>
          <w:sz w:val="20"/>
          <w:szCs w:val="20"/>
        </w:rPr>
      </w:pPr>
      <w:hyperlink r:id="rId54">
        <w:r>
          <w:rPr>
            <w:rStyle w:val="Style3"/>
            <w:rFonts w:eastAsia="Times New Roman" w:cs="Times New Roman" w:ascii="Times New Roman" w:hAnsi="Times New Roman"/>
            <w:color w:val="1155CC"/>
            <w:sz w:val="20"/>
            <w:szCs w:val="20"/>
            <w:u w:val="single"/>
          </w:rPr>
          <w:t>[GAR25]</w:t>
        </w:r>
      </w:hyperlink>
      <w:r>
        <w:rPr>
          <w:rFonts w:eastAsia="Times New Roman" w:cs="Times New Roman" w:ascii="Times New Roman" w:hAnsi="Times New Roman"/>
          <w:sz w:val="20"/>
          <w:szCs w:val="20"/>
        </w:rPr>
        <w:t xml:space="preserve"> M. García Olmos</w:t>
      </w:r>
      <w:r>
        <w:rPr>
          <w:rFonts w:eastAsia="Times New Roman" w:cs="Times New Roman" w:ascii="Times New Roman" w:hAnsi="Times New Roman"/>
          <w:i/>
          <w:iCs/>
          <w:sz w:val="20"/>
          <w:szCs w:val="20"/>
        </w:rPr>
        <w:t xml:space="preserve"> et al.</w:t>
      </w:r>
      <w:r>
        <w:rPr>
          <w:rFonts w:eastAsia="Times New Roman" w:cs="Times New Roman" w:ascii="Times New Roman" w:hAnsi="Times New Roman"/>
          <w:sz w:val="20"/>
          <w:szCs w:val="20"/>
        </w:rPr>
        <w:t xml:space="preserve"> 2D Mater. </w:t>
      </w:r>
      <w:r>
        <w:rPr>
          <w:rFonts w:eastAsia="Times New Roman" w:cs="Times New Roman" w:ascii="Times New Roman" w:hAnsi="Times New Roman"/>
          <w:b/>
          <w:bCs/>
          <w:sz w:val="20"/>
          <w:szCs w:val="20"/>
        </w:rPr>
        <w:t>12</w:t>
      </w:r>
      <w:r>
        <w:rPr>
          <w:rFonts w:eastAsia="Times New Roman" w:cs="Times New Roman" w:ascii="Times New Roman" w:hAnsi="Times New Roman"/>
          <w:sz w:val="20"/>
          <w:szCs w:val="20"/>
        </w:rPr>
        <w:t>, 045019 (2025).</w:t>
      </w:r>
    </w:p>
    <w:p>
      <w:pPr>
        <w:pStyle w:val="Normal"/>
        <w:spacing w:lineRule="auto" w:line="240" w:before="0" w:after="0"/>
        <w:rPr>
          <w:rFonts w:ascii="Times New Roman" w:hAnsi="Times New Roman" w:eastAsia="Times New Roman" w:cs="Times New Roman"/>
          <w:sz w:val="20"/>
          <w:szCs w:val="20"/>
          <w:highlight w:val="white"/>
        </w:rPr>
      </w:pPr>
      <w:hyperlink r:id="rId55">
        <w:r>
          <w:rPr>
            <w:rStyle w:val="Style3"/>
            <w:rFonts w:eastAsia="Times New Roman" w:cs="Times New Roman" w:ascii="Times New Roman" w:hAnsi="Times New Roman"/>
            <w:color w:val="1155CC"/>
            <w:sz w:val="20"/>
            <w:szCs w:val="20"/>
            <w:u w:val="single"/>
          </w:rPr>
          <w:t>[GEU25]</w:t>
        </w:r>
      </w:hyperlink>
      <w:r>
        <w:rPr>
          <w:rFonts w:eastAsia="Times New Roman" w:cs="Times New Roman" w:ascii="Times New Roman" w:hAnsi="Times New Roman"/>
          <w:sz w:val="20"/>
          <w:szCs w:val="20"/>
        </w:rPr>
        <w:t xml:space="preserve"> J. Geurs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w:t>
      </w:r>
      <w:r>
        <w:rPr>
          <w:rFonts w:eastAsia="Times New Roman" w:cs="Times New Roman" w:ascii="Times New Roman" w:hAnsi="Times New Roman"/>
          <w:sz w:val="20"/>
          <w:szCs w:val="20"/>
          <w:highlight w:val="white"/>
        </w:rPr>
        <w:t>arXiv:2509.16321 (2025).</w:t>
      </w:r>
    </w:p>
    <w:p>
      <w:pPr>
        <w:pStyle w:val="Normal"/>
        <w:spacing w:lineRule="auto" w:line="240" w:before="0" w:after="0"/>
        <w:rPr>
          <w:rFonts w:ascii="Times New Roman" w:hAnsi="Times New Roman" w:eastAsia="Times New Roman" w:cs="Times New Roman"/>
          <w:sz w:val="20"/>
          <w:szCs w:val="20"/>
          <w:highlight w:val="white"/>
        </w:rPr>
      </w:pPr>
      <w:hyperlink r:id="rId56">
        <w:r>
          <w:rPr>
            <w:rStyle w:val="Style3"/>
            <w:rFonts w:eastAsia="Times New Roman" w:cs="Times New Roman" w:ascii="Times New Roman" w:hAnsi="Times New Roman"/>
            <w:color w:val="1155CC"/>
            <w:sz w:val="20"/>
            <w:szCs w:val="20"/>
            <w:highlight w:val="white"/>
            <w:u w:val="single"/>
          </w:rPr>
          <w:t>[GIA09]</w:t>
        </w:r>
      </w:hyperlink>
      <w:r>
        <w:rPr>
          <w:rFonts w:eastAsia="Times New Roman" w:cs="Times New Roman" w:ascii="Times New Roman" w:hAnsi="Times New Roman"/>
          <w:sz w:val="20"/>
          <w:szCs w:val="20"/>
          <w:highlight w:val="white"/>
        </w:rPr>
        <w:t xml:space="preserve"> P. Giannozzi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J. Phys.: Condens. Matter </w:t>
      </w:r>
      <w:r>
        <w:rPr>
          <w:rFonts w:eastAsia="Times New Roman" w:cs="Times New Roman" w:ascii="Times New Roman" w:hAnsi="Times New Roman"/>
          <w:b/>
          <w:bCs/>
          <w:sz w:val="20"/>
          <w:szCs w:val="20"/>
        </w:rPr>
        <w:t>21</w:t>
      </w:r>
      <w:r>
        <w:rPr>
          <w:rFonts w:eastAsia="Times New Roman" w:cs="Times New Roman" w:ascii="Times New Roman" w:hAnsi="Times New Roman"/>
          <w:sz w:val="20"/>
          <w:szCs w:val="20"/>
        </w:rPr>
        <w:t>, 395502 (2009).</w:t>
      </w:r>
    </w:p>
    <w:p>
      <w:pPr>
        <w:pStyle w:val="Normal"/>
        <w:spacing w:lineRule="auto" w:line="240" w:before="0" w:after="0"/>
        <w:rPr>
          <w:rFonts w:ascii="Times New Roman" w:hAnsi="Times New Roman" w:eastAsia="Times New Roman" w:cs="Times New Roman"/>
          <w:sz w:val="20"/>
          <w:szCs w:val="20"/>
        </w:rPr>
      </w:pPr>
      <w:hyperlink r:id="rId57">
        <w:r>
          <w:rPr>
            <w:rStyle w:val="Style3"/>
            <w:rFonts w:eastAsia="Times New Roman" w:cs="Times New Roman" w:ascii="Times New Roman" w:hAnsi="Times New Roman"/>
            <w:color w:val="1155CC"/>
            <w:sz w:val="20"/>
            <w:szCs w:val="20"/>
            <w:u w:val="single"/>
          </w:rPr>
          <w:t>[GOM24]</w:t>
        </w:r>
      </w:hyperlink>
      <w:r>
        <w:rPr>
          <w:rFonts w:eastAsia="Times New Roman" w:cs="Times New Roman" w:ascii="Times New Roman" w:hAnsi="Times New Roman"/>
          <w:sz w:val="20"/>
          <w:szCs w:val="20"/>
        </w:rPr>
        <w:t xml:space="preserve"> A. Gómez-León, Quantum </w:t>
      </w:r>
      <w:r>
        <w:rPr>
          <w:rFonts w:eastAsia="Times New Roman" w:cs="Times New Roman" w:ascii="Times New Roman" w:hAnsi="Times New Roman"/>
          <w:b/>
          <w:bCs/>
          <w:sz w:val="20"/>
          <w:szCs w:val="20"/>
        </w:rPr>
        <w:t>8</w:t>
      </w:r>
      <w:r>
        <w:rPr>
          <w:rFonts w:eastAsia="Times New Roman" w:cs="Times New Roman" w:ascii="Times New Roman" w:hAnsi="Times New Roman"/>
          <w:sz w:val="20"/>
          <w:szCs w:val="20"/>
        </w:rPr>
        <w:t>, 1522 (2024)</w:t>
      </w:r>
    </w:p>
    <w:p>
      <w:pPr>
        <w:pStyle w:val="Normal"/>
        <w:spacing w:lineRule="auto" w:line="240" w:before="0" w:after="0"/>
        <w:rPr>
          <w:rFonts w:ascii="Times New Roman" w:hAnsi="Times New Roman" w:eastAsia="Times New Roman" w:cs="Times New Roman"/>
          <w:sz w:val="20"/>
          <w:szCs w:val="20"/>
        </w:rPr>
      </w:pPr>
      <w:hyperlink r:id="rId58">
        <w:r>
          <w:rPr>
            <w:rStyle w:val="Style3"/>
            <w:rFonts w:eastAsia="Times New Roman" w:cs="Times New Roman" w:ascii="Times New Roman" w:hAnsi="Times New Roman"/>
            <w:color w:val="1155CC"/>
            <w:sz w:val="20"/>
            <w:szCs w:val="20"/>
            <w:u w:val="single"/>
          </w:rPr>
          <w:t>[GOM25a]</w:t>
        </w:r>
      </w:hyperlink>
      <w:r>
        <w:rPr>
          <w:rFonts w:eastAsia="Times New Roman" w:cs="Times New Roman" w:ascii="Times New Roman" w:hAnsi="Times New Roman"/>
          <w:sz w:val="20"/>
          <w:szCs w:val="20"/>
        </w:rPr>
        <w:t xml:space="preserve"> A. S. Gómez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J. Phys. Mater. </w:t>
      </w:r>
      <w:r>
        <w:rPr>
          <w:rFonts w:eastAsia="Times New Roman" w:cs="Times New Roman" w:ascii="Times New Roman" w:hAnsi="Times New Roman"/>
          <w:b/>
          <w:bCs/>
          <w:sz w:val="20"/>
          <w:szCs w:val="20"/>
        </w:rPr>
        <w:t>8</w:t>
      </w:r>
      <w:r>
        <w:rPr>
          <w:rFonts w:eastAsia="Times New Roman" w:cs="Times New Roman" w:ascii="Times New Roman" w:hAnsi="Times New Roman"/>
          <w:sz w:val="20"/>
          <w:szCs w:val="20"/>
        </w:rPr>
        <w:t>, 035005 (2025).</w:t>
      </w:r>
    </w:p>
    <w:p>
      <w:pPr>
        <w:pStyle w:val="Normal"/>
        <w:spacing w:lineRule="auto" w:line="240" w:before="0" w:after="0"/>
        <w:rPr>
          <w:rFonts w:ascii="Times New Roman" w:hAnsi="Times New Roman" w:eastAsia="Times New Roman" w:cs="Times New Roman"/>
          <w:sz w:val="20"/>
          <w:szCs w:val="20"/>
        </w:rPr>
      </w:pPr>
      <w:hyperlink r:id="rId59">
        <w:r>
          <w:rPr>
            <w:rStyle w:val="Style3"/>
            <w:rFonts w:eastAsia="Times New Roman" w:cs="Times New Roman" w:ascii="Times New Roman" w:hAnsi="Times New Roman"/>
            <w:color w:val="1155CC"/>
            <w:sz w:val="20"/>
            <w:szCs w:val="20"/>
            <w:u w:val="single"/>
          </w:rPr>
          <w:t>[GOM25b]</w:t>
        </w:r>
      </w:hyperlink>
      <w:r>
        <w:rPr>
          <w:rFonts w:eastAsia="Times New Roman" w:cs="Times New Roman" w:ascii="Times New Roman" w:hAnsi="Times New Roman"/>
          <w:sz w:val="20"/>
          <w:szCs w:val="20"/>
        </w:rPr>
        <w:t xml:space="preserve"> S. Gómez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arXiv:2506.13370 (2025).</w:t>
      </w:r>
    </w:p>
    <w:p>
      <w:pPr>
        <w:pStyle w:val="Normal"/>
        <w:spacing w:lineRule="auto" w:line="240" w:before="0" w:after="0"/>
        <w:rPr>
          <w:rFonts w:ascii="Times New Roman" w:hAnsi="Times New Roman" w:eastAsia="Times New Roman" w:cs="Times New Roman"/>
          <w:sz w:val="20"/>
          <w:szCs w:val="20"/>
        </w:rPr>
      </w:pPr>
      <w:hyperlink r:id="rId60">
        <w:r>
          <w:rPr>
            <w:rStyle w:val="Style3"/>
            <w:rFonts w:eastAsia="Times New Roman" w:cs="Times New Roman" w:ascii="Times New Roman" w:hAnsi="Times New Roman"/>
            <w:color w:val="1155CC"/>
            <w:sz w:val="20"/>
            <w:szCs w:val="20"/>
            <w:u w:val="single"/>
          </w:rPr>
          <w:t>[GON16]</w:t>
        </w:r>
      </w:hyperlink>
      <w:r>
        <w:rPr>
          <w:rFonts w:eastAsia="Times New Roman" w:cs="Times New Roman" w:ascii="Times New Roman" w:hAnsi="Times New Roman"/>
          <w:sz w:val="20"/>
          <w:szCs w:val="20"/>
        </w:rPr>
        <w:t xml:space="preserve"> J. González and R. A. Molina, Phys. Rev. Lett. </w:t>
      </w:r>
      <w:r>
        <w:rPr>
          <w:rFonts w:eastAsia="Times New Roman" w:cs="Times New Roman" w:ascii="Times New Roman" w:hAnsi="Times New Roman"/>
          <w:b/>
          <w:bCs/>
          <w:sz w:val="20"/>
          <w:szCs w:val="20"/>
        </w:rPr>
        <w:t>116</w:t>
      </w:r>
      <w:r>
        <w:rPr>
          <w:rFonts w:eastAsia="Times New Roman" w:cs="Times New Roman" w:ascii="Times New Roman" w:hAnsi="Times New Roman"/>
          <w:sz w:val="20"/>
          <w:szCs w:val="20"/>
        </w:rPr>
        <w:t>, 156803 (2016).</w:t>
      </w:r>
    </w:p>
    <w:p>
      <w:pPr>
        <w:pStyle w:val="Normal"/>
        <w:spacing w:lineRule="auto" w:line="240" w:before="0" w:after="0"/>
        <w:rPr>
          <w:rFonts w:ascii="Times New Roman" w:hAnsi="Times New Roman" w:eastAsia="Times New Roman" w:cs="Times New Roman"/>
          <w:sz w:val="20"/>
          <w:szCs w:val="20"/>
        </w:rPr>
      </w:pPr>
      <w:hyperlink r:id="rId61">
        <w:r>
          <w:rPr>
            <w:rStyle w:val="Style3"/>
            <w:rFonts w:eastAsia="Times New Roman" w:cs="Times New Roman" w:ascii="Times New Roman" w:hAnsi="Times New Roman"/>
            <w:color w:val="1155CC"/>
            <w:sz w:val="20"/>
            <w:szCs w:val="20"/>
            <w:u w:val="single"/>
          </w:rPr>
          <w:t>[GOO12]</w:t>
        </w:r>
      </w:hyperlink>
      <w:r>
        <w:rPr>
          <w:rFonts w:eastAsia="Times New Roman" w:cs="Times New Roman" w:ascii="Times New Roman" w:hAnsi="Times New Roman"/>
          <w:sz w:val="20"/>
          <w:szCs w:val="20"/>
        </w:rPr>
        <w:t xml:space="preserve"> A. M. Goosens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Appl. Phys. Lett. </w:t>
      </w:r>
      <w:r>
        <w:rPr>
          <w:rFonts w:eastAsia="Times New Roman" w:cs="Times New Roman" w:ascii="Times New Roman" w:hAnsi="Times New Roman"/>
          <w:b/>
          <w:bCs/>
          <w:sz w:val="20"/>
          <w:szCs w:val="20"/>
        </w:rPr>
        <w:t>100</w:t>
      </w:r>
      <w:r>
        <w:rPr>
          <w:rFonts w:eastAsia="Times New Roman" w:cs="Times New Roman" w:ascii="Times New Roman" w:hAnsi="Times New Roman"/>
          <w:sz w:val="20"/>
          <w:szCs w:val="20"/>
        </w:rPr>
        <w:t>, 073110 (2012).</w:t>
        <w:br/>
      </w:r>
      <w:hyperlink r:id="rId62">
        <w:r>
          <w:rPr>
            <w:rStyle w:val="Style3"/>
            <w:rFonts w:eastAsia="Times New Roman" w:cs="Times New Roman" w:ascii="Times New Roman" w:hAnsi="Times New Roman"/>
            <w:color w:val="1155CC"/>
            <w:sz w:val="20"/>
            <w:szCs w:val="20"/>
            <w:u w:val="single"/>
          </w:rPr>
          <w:t>[GRO14]</w:t>
        </w:r>
      </w:hyperlink>
      <w:r>
        <w:rPr>
          <w:rFonts w:eastAsia="Times New Roman" w:cs="Times New Roman" w:ascii="Times New Roman" w:hAnsi="Times New Roman"/>
          <w:sz w:val="20"/>
          <w:szCs w:val="20"/>
        </w:rPr>
        <w:t xml:space="preserve"> C. W. Groth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New J. Phys. </w:t>
      </w:r>
      <w:r>
        <w:rPr>
          <w:rFonts w:eastAsia="Times New Roman" w:cs="Times New Roman" w:ascii="Times New Roman" w:hAnsi="Times New Roman"/>
          <w:b/>
          <w:bCs/>
          <w:sz w:val="20"/>
          <w:szCs w:val="20"/>
        </w:rPr>
        <w:t xml:space="preserve">16, </w:t>
      </w:r>
      <w:r>
        <w:rPr>
          <w:rFonts w:eastAsia="Times New Roman" w:cs="Times New Roman" w:ascii="Times New Roman" w:hAnsi="Times New Roman"/>
          <w:sz w:val="20"/>
          <w:szCs w:val="20"/>
        </w:rPr>
        <w:t>063065 (2014).</w:t>
      </w:r>
    </w:p>
    <w:p>
      <w:pPr>
        <w:pStyle w:val="Normal"/>
        <w:spacing w:lineRule="auto" w:line="240" w:before="0" w:after="0"/>
        <w:rPr>
          <w:rFonts w:ascii="Times New Roman" w:hAnsi="Times New Roman" w:eastAsia="Times New Roman" w:cs="Times New Roman"/>
          <w:sz w:val="20"/>
          <w:szCs w:val="20"/>
        </w:rPr>
      </w:pPr>
      <w:hyperlink r:id="rId63">
        <w:r>
          <w:rPr>
            <w:rStyle w:val="Style3"/>
            <w:rFonts w:eastAsia="Times New Roman" w:cs="Times New Roman" w:ascii="Times New Roman" w:hAnsi="Times New Roman"/>
            <w:color w:val="1155CC"/>
            <w:sz w:val="20"/>
            <w:szCs w:val="20"/>
            <w:u w:val="single"/>
          </w:rPr>
          <w:t>[GUR63]</w:t>
        </w:r>
      </w:hyperlink>
      <w:r>
        <w:rPr>
          <w:rFonts w:eastAsia="Times New Roman" w:cs="Times New Roman" w:ascii="Times New Roman" w:hAnsi="Times New Roman"/>
          <w:sz w:val="20"/>
          <w:szCs w:val="20"/>
        </w:rPr>
        <w:t xml:space="preserve"> R. N. Gurzhi, J. Exp. Theor. Phys. </w:t>
      </w:r>
      <w:r>
        <w:rPr>
          <w:rFonts w:eastAsia="Times New Roman" w:cs="Times New Roman" w:ascii="Times New Roman" w:hAnsi="Times New Roman"/>
          <w:b/>
          <w:bCs/>
          <w:sz w:val="20"/>
          <w:szCs w:val="20"/>
        </w:rPr>
        <w:t>17</w:t>
      </w:r>
      <w:r>
        <w:rPr>
          <w:rFonts w:eastAsia="Times New Roman" w:cs="Times New Roman" w:ascii="Times New Roman" w:hAnsi="Times New Roman"/>
          <w:sz w:val="20"/>
          <w:szCs w:val="20"/>
        </w:rPr>
        <w:t>, 521 (1963).</w:t>
      </w:r>
    </w:p>
    <w:p>
      <w:pPr>
        <w:pStyle w:val="Normal"/>
        <w:spacing w:lineRule="auto" w:line="240" w:before="0" w:after="0"/>
        <w:rPr>
          <w:rFonts w:ascii="Times New Roman" w:hAnsi="Times New Roman" w:eastAsia="Times New Roman" w:cs="Times New Roman"/>
          <w:sz w:val="20"/>
          <w:szCs w:val="20"/>
        </w:rPr>
      </w:pPr>
      <w:hyperlink r:id="rId64">
        <w:r>
          <w:rPr>
            <w:rStyle w:val="Style3"/>
            <w:rFonts w:eastAsia="Times New Roman" w:cs="Times New Roman" w:ascii="Times New Roman" w:hAnsi="Times New Roman"/>
            <w:color w:val="1155CC"/>
            <w:sz w:val="20"/>
            <w:szCs w:val="20"/>
            <w:u w:val="single"/>
          </w:rPr>
          <w:t>[GUR68]</w:t>
        </w:r>
      </w:hyperlink>
      <w:r>
        <w:rPr>
          <w:rFonts w:eastAsia="Times New Roman" w:cs="Times New Roman" w:ascii="Times New Roman" w:hAnsi="Times New Roman"/>
          <w:sz w:val="20"/>
          <w:szCs w:val="20"/>
        </w:rPr>
        <w:t xml:space="preserve"> R. N. Gurzhi, Sov. Phys. Usp. </w:t>
      </w:r>
      <w:r>
        <w:rPr>
          <w:rFonts w:eastAsia="Times New Roman" w:cs="Times New Roman" w:ascii="Times New Roman" w:hAnsi="Times New Roman"/>
          <w:b/>
          <w:bCs/>
          <w:sz w:val="20"/>
          <w:szCs w:val="20"/>
        </w:rPr>
        <w:t>11</w:t>
      </w:r>
      <w:r>
        <w:rPr>
          <w:rFonts w:eastAsia="Times New Roman" w:cs="Times New Roman" w:ascii="Times New Roman" w:hAnsi="Times New Roman"/>
          <w:sz w:val="20"/>
          <w:szCs w:val="20"/>
        </w:rPr>
        <w:t>, 255 (1968).</w:t>
        <w:br/>
      </w:r>
      <w:hyperlink r:id="rId65">
        <w:r>
          <w:rPr>
            <w:rStyle w:val="Style3"/>
            <w:rFonts w:eastAsia="Times New Roman" w:cs="Times New Roman" w:ascii="Times New Roman" w:hAnsi="Times New Roman"/>
            <w:color w:val="1155CC"/>
            <w:sz w:val="20"/>
            <w:szCs w:val="20"/>
            <w:u w:val="single"/>
          </w:rPr>
          <w:t>[HEN25]</w:t>
        </w:r>
      </w:hyperlink>
      <w:r>
        <w:rPr>
          <w:rFonts w:eastAsia="Times New Roman" w:cs="Times New Roman" w:ascii="Times New Roman" w:hAnsi="Times New Roman"/>
          <w:sz w:val="20"/>
          <w:szCs w:val="20"/>
        </w:rPr>
        <w:t xml:space="preserve"> E. Henriquez-Guerra et al. Adv. Mater., 2506695 (2025).</w:t>
      </w:r>
    </w:p>
    <w:p>
      <w:pPr>
        <w:pStyle w:val="Normal"/>
        <w:spacing w:lineRule="auto" w:line="240" w:before="0" w:after="0"/>
        <w:rPr>
          <w:rFonts w:ascii="Times New Roman" w:hAnsi="Times New Roman" w:eastAsia="Times New Roman" w:cs="Times New Roman"/>
          <w:sz w:val="20"/>
          <w:szCs w:val="20"/>
        </w:rPr>
      </w:pPr>
      <w:hyperlink r:id="rId66">
        <w:r>
          <w:rPr>
            <w:rStyle w:val="Style3"/>
            <w:rFonts w:eastAsia="Times New Roman" w:cs="Times New Roman" w:ascii="Times New Roman" w:hAnsi="Times New Roman"/>
            <w:color w:val="1155CC"/>
            <w:sz w:val="20"/>
            <w:szCs w:val="20"/>
            <w:u w:val="single"/>
          </w:rPr>
          <w:t>[HOU25</w:t>
        </w:r>
      </w:hyperlink>
      <w:r>
        <w:rPr>
          <w:rFonts w:eastAsia="Times New Roman" w:cs="Times New Roman" w:ascii="Times New Roman" w:hAnsi="Times New Roman"/>
          <w:sz w:val="20"/>
          <w:szCs w:val="20"/>
        </w:rPr>
        <w:t xml:space="preserve">] Y. Hou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Small, </w:t>
      </w:r>
      <w:r>
        <w:rPr>
          <w:rFonts w:eastAsia="Times New Roman" w:cs="Times New Roman" w:ascii="Times New Roman" w:hAnsi="Times New Roman"/>
          <w:b/>
          <w:bCs/>
          <w:sz w:val="20"/>
          <w:szCs w:val="20"/>
        </w:rPr>
        <w:t>21</w:t>
      </w:r>
      <w:r>
        <w:rPr>
          <w:rFonts w:eastAsia="Times New Roman" w:cs="Times New Roman" w:ascii="Times New Roman" w:hAnsi="Times New Roman"/>
          <w:sz w:val="20"/>
          <w:szCs w:val="20"/>
        </w:rPr>
        <w:t>, 2311185 (2025).</w:t>
      </w:r>
    </w:p>
    <w:p>
      <w:pPr>
        <w:pStyle w:val="Normal"/>
        <w:spacing w:lineRule="auto" w:line="240" w:before="0" w:after="0"/>
        <w:rPr>
          <w:rFonts w:ascii="Times New Roman" w:hAnsi="Times New Roman" w:eastAsia="Times New Roman" w:cs="Times New Roman"/>
          <w:sz w:val="20"/>
          <w:szCs w:val="20"/>
        </w:rPr>
      </w:pPr>
      <w:hyperlink r:id="rId67">
        <w:r>
          <w:rPr>
            <w:rStyle w:val="Style3"/>
            <w:rFonts w:eastAsia="Times New Roman" w:cs="Times New Roman" w:ascii="Times New Roman" w:hAnsi="Times New Roman"/>
            <w:color w:val="1155CC"/>
            <w:sz w:val="20"/>
            <w:szCs w:val="20"/>
            <w:u w:val="single"/>
          </w:rPr>
          <w:t>[HUA24]</w:t>
        </w:r>
      </w:hyperlink>
      <w:r>
        <w:rPr>
          <w:rFonts w:eastAsia="Times New Roman" w:cs="Times New Roman" w:ascii="Times New Roman" w:hAnsi="Times New Roman"/>
          <w:sz w:val="20"/>
          <w:szCs w:val="20"/>
        </w:rPr>
        <w:t xml:space="preserve"> X. Huang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Nature </w:t>
      </w:r>
      <w:r>
        <w:rPr>
          <w:rFonts w:eastAsia="Times New Roman" w:cs="Times New Roman" w:ascii="Times New Roman" w:hAnsi="Times New Roman"/>
          <w:b/>
          <w:bCs/>
          <w:sz w:val="20"/>
          <w:szCs w:val="20"/>
        </w:rPr>
        <w:t>634</w:t>
      </w:r>
      <w:r>
        <w:rPr>
          <w:rFonts w:eastAsia="Times New Roman" w:cs="Times New Roman" w:ascii="Times New Roman" w:hAnsi="Times New Roman"/>
          <w:sz w:val="20"/>
          <w:szCs w:val="20"/>
        </w:rPr>
        <w:t>, 1086 (2024).</w:t>
      </w:r>
    </w:p>
    <w:p>
      <w:pPr>
        <w:pStyle w:val="Normal"/>
        <w:spacing w:lineRule="auto" w:line="240" w:before="0" w:after="0"/>
        <w:rPr>
          <w:rFonts w:ascii="Times New Roman" w:hAnsi="Times New Roman" w:eastAsia="Times New Roman" w:cs="Times New Roman"/>
          <w:sz w:val="20"/>
          <w:szCs w:val="20"/>
        </w:rPr>
      </w:pPr>
      <w:hyperlink r:id="rId68">
        <w:r>
          <w:rPr>
            <w:rStyle w:val="Style3"/>
            <w:rFonts w:eastAsia="Times New Roman" w:cs="Times New Roman" w:ascii="Times New Roman" w:hAnsi="Times New Roman"/>
            <w:color w:val="1155CC"/>
            <w:sz w:val="20"/>
            <w:szCs w:val="20"/>
            <w:u w:val="single"/>
          </w:rPr>
          <w:t>[JON95]</w:t>
        </w:r>
      </w:hyperlink>
      <w:r>
        <w:rPr>
          <w:rFonts w:eastAsia="Times New Roman" w:cs="Times New Roman" w:ascii="Times New Roman" w:hAnsi="Times New Roman"/>
          <w:sz w:val="20"/>
          <w:szCs w:val="20"/>
        </w:rPr>
        <w:t xml:space="preserve"> M. J. M. de Jong and L. W. Molenkamp, Phys. Rev. B  </w:t>
      </w:r>
      <w:r>
        <w:rPr>
          <w:rFonts w:eastAsia="Times New Roman" w:cs="Times New Roman" w:ascii="Times New Roman" w:hAnsi="Times New Roman"/>
          <w:b/>
          <w:bCs/>
          <w:sz w:val="20"/>
          <w:szCs w:val="20"/>
        </w:rPr>
        <w:t>51</w:t>
      </w:r>
      <w:r>
        <w:rPr>
          <w:rFonts w:eastAsia="Times New Roman" w:cs="Times New Roman" w:ascii="Times New Roman" w:hAnsi="Times New Roman"/>
          <w:sz w:val="20"/>
          <w:szCs w:val="20"/>
        </w:rPr>
        <w:t>, 13389 (1995).</w:t>
      </w:r>
    </w:p>
    <w:p>
      <w:pPr>
        <w:pStyle w:val="Normal"/>
        <w:spacing w:lineRule="auto" w:line="240" w:before="0" w:after="0"/>
        <w:rPr>
          <w:rFonts w:ascii="Times New Roman" w:hAnsi="Times New Roman" w:eastAsia="Times New Roman" w:cs="Times New Roman"/>
          <w:sz w:val="20"/>
          <w:szCs w:val="20"/>
        </w:rPr>
      </w:pPr>
      <w:hyperlink r:id="rId69">
        <w:r>
          <w:rPr>
            <w:rStyle w:val="Style3"/>
            <w:rFonts w:eastAsia="Times New Roman" w:cs="Times New Roman" w:ascii="Times New Roman" w:hAnsi="Times New Roman"/>
            <w:color w:val="1155CC"/>
            <w:sz w:val="20"/>
            <w:szCs w:val="20"/>
            <w:u w:val="single"/>
          </w:rPr>
          <w:t>[KIM19]</w:t>
        </w:r>
      </w:hyperlink>
      <w:r>
        <w:rPr>
          <w:rFonts w:eastAsia="Times New Roman" w:cs="Times New Roman" w:ascii="Times New Roman" w:hAnsi="Times New Roman"/>
          <w:sz w:val="20"/>
          <w:szCs w:val="20"/>
        </w:rPr>
        <w:t xml:space="preserve"> Y. Kim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ACS Nano, </w:t>
      </w:r>
      <w:r>
        <w:rPr>
          <w:rFonts w:eastAsia="Times New Roman" w:cs="Times New Roman" w:ascii="Times New Roman" w:hAnsi="Times New Roman"/>
          <w:b/>
          <w:bCs/>
          <w:sz w:val="20"/>
          <w:szCs w:val="20"/>
        </w:rPr>
        <w:t>13</w:t>
      </w:r>
      <w:r>
        <w:rPr>
          <w:rFonts w:eastAsia="Times New Roman" w:cs="Times New Roman" w:ascii="Times New Roman" w:hAnsi="Times New Roman"/>
          <w:sz w:val="20"/>
          <w:szCs w:val="20"/>
        </w:rPr>
        <w:t>, 14182 (2019).</w:t>
        <w:tab/>
      </w:r>
    </w:p>
    <w:p>
      <w:pPr>
        <w:pStyle w:val="Normal"/>
        <w:spacing w:lineRule="auto" w:line="240" w:before="0" w:after="0"/>
        <w:rPr>
          <w:rFonts w:ascii="Times New Roman" w:hAnsi="Times New Roman" w:eastAsia="Times New Roman" w:cs="Times New Roman"/>
          <w:sz w:val="20"/>
          <w:szCs w:val="20"/>
        </w:rPr>
      </w:pPr>
      <w:hyperlink r:id="rId70">
        <w:r>
          <w:rPr>
            <w:rStyle w:val="Style3"/>
            <w:rFonts w:eastAsia="Times New Roman" w:cs="Times New Roman" w:ascii="Times New Roman" w:hAnsi="Times New Roman"/>
            <w:color w:val="1155CC"/>
            <w:sz w:val="20"/>
            <w:szCs w:val="20"/>
            <w:u w:val="single"/>
          </w:rPr>
          <w:t>[KIM24]</w:t>
        </w:r>
      </w:hyperlink>
      <w:r>
        <w:rPr>
          <w:rFonts w:eastAsia="Times New Roman" w:cs="Times New Roman" w:ascii="Times New Roman" w:hAnsi="Times New Roman"/>
          <w:sz w:val="20"/>
          <w:szCs w:val="20"/>
        </w:rPr>
        <w:t xml:space="preserve"> J. Kim </w:t>
      </w:r>
      <w:r>
        <w:rPr>
          <w:rFonts w:eastAsia="Times New Roman" w:cs="Times New Roman" w:ascii="Times New Roman" w:hAnsi="Times New Roman"/>
          <w:i/>
          <w:iCs/>
          <w:sz w:val="20"/>
          <w:szCs w:val="20"/>
        </w:rPr>
        <w:t xml:space="preserve">et al. </w:t>
      </w:r>
      <w:r>
        <w:rPr>
          <w:rFonts w:eastAsia="Times New Roman" w:cs="Times New Roman" w:ascii="Times New Roman" w:hAnsi="Times New Roman"/>
          <w:sz w:val="20"/>
          <w:szCs w:val="20"/>
        </w:rPr>
        <w:t xml:space="preserve">Nat. Nanotech. </w:t>
      </w:r>
      <w:r>
        <w:rPr>
          <w:rFonts w:eastAsia="Times New Roman" w:cs="Times New Roman" w:ascii="Times New Roman" w:hAnsi="Times New Roman"/>
          <w:b/>
          <w:bCs/>
          <w:sz w:val="20"/>
          <w:szCs w:val="20"/>
        </w:rPr>
        <w:t>19</w:t>
      </w:r>
      <w:r>
        <w:rPr>
          <w:rFonts w:eastAsia="Times New Roman" w:cs="Times New Roman" w:ascii="Times New Roman" w:hAnsi="Times New Roman"/>
          <w:sz w:val="20"/>
          <w:szCs w:val="20"/>
        </w:rPr>
        <w:t>, 1619 (2024).</w:t>
        <w:br/>
      </w:r>
      <w:hyperlink r:id="rId71">
        <w:r>
          <w:rPr>
            <w:rStyle w:val="Style3"/>
            <w:rFonts w:eastAsia="Times New Roman" w:cs="Times New Roman" w:ascii="Times New Roman" w:hAnsi="Times New Roman"/>
            <w:color w:val="1155CC"/>
            <w:sz w:val="20"/>
            <w:szCs w:val="20"/>
            <w:u w:val="single"/>
          </w:rPr>
          <w:t>[KOS18]</w:t>
        </w:r>
      </w:hyperlink>
      <w:r>
        <w:rPr>
          <w:rFonts w:eastAsia="Times New Roman" w:cs="Times New Roman" w:ascii="Times New Roman" w:hAnsi="Times New Roman"/>
          <w:sz w:val="20"/>
          <w:szCs w:val="20"/>
        </w:rPr>
        <w:t xml:space="preserve"> M. Koshino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Rev X </w:t>
      </w:r>
      <w:r>
        <w:rPr>
          <w:rFonts w:eastAsia="Times New Roman" w:cs="Times New Roman" w:ascii="Times New Roman" w:hAnsi="Times New Roman"/>
          <w:b/>
          <w:bCs/>
          <w:sz w:val="20"/>
          <w:szCs w:val="20"/>
        </w:rPr>
        <w:t>8</w:t>
      </w:r>
      <w:r>
        <w:rPr>
          <w:rFonts w:eastAsia="Times New Roman" w:cs="Times New Roman" w:ascii="Times New Roman" w:hAnsi="Times New Roman"/>
          <w:sz w:val="20"/>
          <w:szCs w:val="20"/>
        </w:rPr>
        <w:t>, 031087 (2018).</w:t>
      </w:r>
    </w:p>
    <w:p>
      <w:pPr>
        <w:pStyle w:val="Normal"/>
        <w:spacing w:lineRule="auto" w:line="240" w:before="0" w:after="0"/>
        <w:rPr>
          <w:rFonts w:ascii="Times New Roman" w:hAnsi="Times New Roman" w:eastAsia="Times New Roman" w:cs="Times New Roman"/>
          <w:sz w:val="20"/>
          <w:szCs w:val="20"/>
        </w:rPr>
      </w:pPr>
      <w:hyperlink r:id="rId72">
        <w:r>
          <w:rPr>
            <w:rStyle w:val="Style3"/>
            <w:rFonts w:eastAsia="Times New Roman" w:cs="Times New Roman" w:ascii="Times New Roman" w:hAnsi="Times New Roman"/>
            <w:color w:val="1155CC"/>
            <w:sz w:val="20"/>
            <w:szCs w:val="20"/>
            <w:u w:val="single"/>
          </w:rPr>
          <w:t>[KRA25]</w:t>
        </w:r>
      </w:hyperlink>
      <w:r>
        <w:rPr>
          <w:rFonts w:eastAsia="Times New Roman" w:cs="Times New Roman" w:ascii="Times New Roman" w:hAnsi="Times New Roman"/>
          <w:sz w:val="20"/>
          <w:szCs w:val="20"/>
        </w:rPr>
        <w:t xml:space="preserve"> M. V. Kravstov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Nat. Nanotech. </w:t>
      </w:r>
      <w:r>
        <w:rPr>
          <w:rFonts w:eastAsia="Times New Roman" w:cs="Times New Roman" w:ascii="Times New Roman" w:hAnsi="Times New Roman"/>
          <w:b/>
          <w:bCs/>
          <w:sz w:val="20"/>
          <w:szCs w:val="20"/>
        </w:rPr>
        <w:t>20</w:t>
      </w:r>
      <w:r>
        <w:rPr>
          <w:rFonts w:eastAsia="Times New Roman" w:cs="Times New Roman" w:ascii="Times New Roman" w:hAnsi="Times New Roman"/>
          <w:sz w:val="20"/>
          <w:szCs w:val="20"/>
        </w:rPr>
        <w:t>, 51 (2025).</w:t>
      </w:r>
    </w:p>
    <w:p>
      <w:pPr>
        <w:pStyle w:val="Normal"/>
        <w:spacing w:lineRule="auto" w:line="240" w:before="0" w:after="0"/>
        <w:rPr>
          <w:rFonts w:ascii="Times New Roman" w:hAnsi="Times New Roman" w:eastAsia="Times New Roman" w:cs="Times New Roman"/>
          <w:sz w:val="20"/>
          <w:szCs w:val="20"/>
        </w:rPr>
      </w:pPr>
      <w:hyperlink r:id="rId73">
        <w:r>
          <w:rPr>
            <w:rStyle w:val="Style3"/>
            <w:rFonts w:eastAsia="Times New Roman" w:cs="Times New Roman" w:ascii="Times New Roman" w:hAnsi="Times New Roman"/>
            <w:color w:val="1155CC"/>
            <w:sz w:val="20"/>
            <w:szCs w:val="20"/>
            <w:u w:val="single"/>
          </w:rPr>
          <w:t>[KUM15]</w:t>
        </w:r>
      </w:hyperlink>
      <w:r>
        <w:rPr>
          <w:rFonts w:eastAsia="Times New Roman" w:cs="Times New Roman" w:ascii="Times New Roman" w:hAnsi="Times New Roman"/>
          <w:sz w:val="20"/>
          <w:szCs w:val="20"/>
        </w:rPr>
        <w:t xml:space="preserve"> S. Kumar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Super. Sci. Tec. </w:t>
      </w:r>
      <w:r>
        <w:rPr>
          <w:rFonts w:eastAsia="Times New Roman" w:cs="Times New Roman" w:ascii="Times New Roman" w:hAnsi="Times New Roman"/>
          <w:b/>
          <w:bCs/>
          <w:sz w:val="20"/>
          <w:szCs w:val="20"/>
        </w:rPr>
        <w:t>28</w:t>
      </w:r>
      <w:r>
        <w:rPr>
          <w:rFonts w:eastAsia="Times New Roman" w:cs="Times New Roman" w:ascii="Times New Roman" w:hAnsi="Times New Roman"/>
          <w:sz w:val="20"/>
          <w:szCs w:val="20"/>
        </w:rPr>
        <w:t>, 055007 (2015).</w:t>
      </w:r>
    </w:p>
    <w:p>
      <w:pPr>
        <w:pStyle w:val="Normal"/>
        <w:spacing w:lineRule="auto" w:line="240" w:before="0" w:after="0"/>
        <w:rPr>
          <w:rFonts w:ascii="Times New Roman" w:hAnsi="Times New Roman" w:eastAsia="Times New Roman" w:cs="Times New Roman"/>
          <w:sz w:val="20"/>
          <w:szCs w:val="20"/>
        </w:rPr>
      </w:pPr>
      <w:hyperlink r:id="rId74">
        <w:r>
          <w:rPr>
            <w:rStyle w:val="Style3"/>
            <w:rFonts w:eastAsia="Times New Roman" w:cs="Times New Roman" w:ascii="Times New Roman" w:hAnsi="Times New Roman"/>
            <w:color w:val="1155CC"/>
            <w:sz w:val="20"/>
            <w:szCs w:val="20"/>
            <w:u w:val="single"/>
          </w:rPr>
          <w:t>[KUM17]</w:t>
        </w:r>
      </w:hyperlink>
      <w:r>
        <w:rPr>
          <w:rFonts w:eastAsia="Times New Roman" w:cs="Times New Roman" w:ascii="Times New Roman" w:hAnsi="Times New Roman"/>
          <w:sz w:val="20"/>
          <w:szCs w:val="20"/>
        </w:rPr>
        <w:t xml:space="preserve"> R. K. Kumar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Nat. Phys. </w:t>
      </w:r>
      <w:r>
        <w:rPr>
          <w:rFonts w:eastAsia="Times New Roman" w:cs="Times New Roman" w:ascii="Times New Roman" w:hAnsi="Times New Roman"/>
          <w:b/>
          <w:bCs/>
          <w:sz w:val="20"/>
          <w:szCs w:val="20"/>
        </w:rPr>
        <w:t>13</w:t>
      </w:r>
      <w:r>
        <w:rPr>
          <w:rFonts w:eastAsia="Times New Roman" w:cs="Times New Roman" w:ascii="Times New Roman" w:hAnsi="Times New Roman"/>
          <w:sz w:val="20"/>
          <w:szCs w:val="20"/>
        </w:rPr>
        <w:t>, 1182 (2017).</w:t>
      </w:r>
    </w:p>
    <w:p>
      <w:pPr>
        <w:pStyle w:val="Normal"/>
        <w:spacing w:lineRule="auto" w:line="240" w:before="0" w:after="0"/>
        <w:rPr>
          <w:rFonts w:ascii="Times New Roman" w:hAnsi="Times New Roman" w:eastAsia="Times New Roman" w:cs="Times New Roman"/>
          <w:sz w:val="20"/>
          <w:szCs w:val="20"/>
        </w:rPr>
      </w:pPr>
      <w:hyperlink r:id="rId75">
        <w:r>
          <w:rPr>
            <w:rStyle w:val="Style3"/>
            <w:rFonts w:eastAsia="Times New Roman" w:cs="Times New Roman" w:ascii="Times New Roman" w:hAnsi="Times New Roman"/>
            <w:color w:val="1155CC"/>
            <w:sz w:val="20"/>
            <w:szCs w:val="20"/>
            <w:u w:val="single"/>
          </w:rPr>
          <w:t>[LAG24]</w:t>
        </w:r>
      </w:hyperlink>
      <w:r>
        <w:rPr>
          <w:rFonts w:eastAsia="Times New Roman" w:cs="Times New Roman" w:ascii="Times New Roman" w:hAnsi="Times New Roman"/>
          <w:sz w:val="20"/>
          <w:szCs w:val="20"/>
        </w:rPr>
        <w:t xml:space="preserve"> L. L. Lage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Rev. B </w:t>
      </w:r>
      <w:r>
        <w:rPr>
          <w:rFonts w:eastAsia="Times New Roman" w:cs="Times New Roman" w:ascii="Times New Roman" w:hAnsi="Times New Roman"/>
          <w:b/>
          <w:bCs/>
          <w:sz w:val="20"/>
          <w:szCs w:val="20"/>
        </w:rPr>
        <w:t>110</w:t>
      </w:r>
      <w:r>
        <w:rPr>
          <w:rFonts w:eastAsia="Times New Roman" w:cs="Times New Roman" w:ascii="Times New Roman" w:hAnsi="Times New Roman"/>
          <w:sz w:val="20"/>
          <w:szCs w:val="20"/>
        </w:rPr>
        <w:t xml:space="preserve">, 165423 (2024). </w:t>
      </w:r>
    </w:p>
    <w:p>
      <w:pPr>
        <w:pStyle w:val="Normal"/>
        <w:spacing w:lineRule="auto" w:line="240" w:before="0" w:after="0"/>
        <w:rPr>
          <w:rFonts w:ascii="Times New Roman" w:hAnsi="Times New Roman" w:eastAsia="Times New Roman" w:cs="Times New Roman"/>
          <w:sz w:val="20"/>
          <w:szCs w:val="20"/>
        </w:rPr>
      </w:pPr>
      <w:hyperlink r:id="rId76">
        <w:r>
          <w:rPr>
            <w:rStyle w:val="Style3"/>
            <w:rFonts w:eastAsia="Times New Roman" w:cs="Times New Roman" w:ascii="Times New Roman" w:hAnsi="Times New Roman"/>
            <w:color w:val="1155CC"/>
            <w:sz w:val="20"/>
            <w:szCs w:val="20"/>
            <w:u w:val="single"/>
          </w:rPr>
          <w:t>[LIU25]</w:t>
        </w:r>
      </w:hyperlink>
      <w:hyperlink r:id="rId77">
        <w:r>
          <w:rPr>
            <w:rStyle w:val="Style3"/>
            <w:rFonts w:eastAsia="Times New Roman" w:cs="Times New Roman" w:ascii="Times New Roman" w:hAnsi="Times New Roman"/>
            <w:b/>
            <w:bCs/>
            <w:color w:val="1155CC"/>
            <w:sz w:val="20"/>
            <w:szCs w:val="20"/>
            <w:u w:val="single"/>
          </w:rPr>
          <w:tab/>
        </w:r>
      </w:hyperlink>
      <w:r>
        <w:rPr>
          <w:rFonts w:eastAsia="Times New Roman" w:cs="Times New Roman" w:ascii="Times New Roman" w:hAnsi="Times New Roman"/>
          <w:b/>
          <w:bCs/>
          <w:sz w:val="20"/>
          <w:szCs w:val="20"/>
        </w:rPr>
        <w:t xml:space="preserve"> </w:t>
      </w:r>
      <w:r>
        <w:rPr>
          <w:rFonts w:eastAsia="Times New Roman" w:cs="Times New Roman" w:ascii="Times New Roman" w:hAnsi="Times New Roman"/>
          <w:sz w:val="20"/>
          <w:szCs w:val="20"/>
        </w:rPr>
        <w:t xml:space="preserve">Z. Liu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Fluids </w:t>
      </w:r>
      <w:r>
        <w:rPr>
          <w:rFonts w:eastAsia="Times New Roman" w:cs="Times New Roman" w:ascii="Times New Roman" w:hAnsi="Times New Roman"/>
          <w:b/>
          <w:bCs/>
          <w:sz w:val="20"/>
          <w:szCs w:val="20"/>
        </w:rPr>
        <w:t>37</w:t>
      </w:r>
      <w:r>
        <w:rPr>
          <w:rFonts w:eastAsia="Times New Roman" w:cs="Times New Roman" w:ascii="Times New Roman" w:hAnsi="Times New Roman"/>
          <w:sz w:val="20"/>
          <w:szCs w:val="20"/>
        </w:rPr>
        <w:t>, 042015 (2025).</w:t>
      </w:r>
      <w:r>
        <w:rPr>
          <w:rFonts w:eastAsia="Times New Roman" w:cs="Times New Roman" w:ascii="Times New Roman" w:hAnsi="Times New Roman"/>
          <w:b/>
          <w:bCs/>
          <w:sz w:val="20"/>
          <w:szCs w:val="20"/>
        </w:rPr>
        <w:tab/>
      </w:r>
      <w:r>
        <w:rPr>
          <w:rFonts w:eastAsia="Times New Roman" w:cs="Times New Roman" w:ascii="Times New Roman" w:hAnsi="Times New Roman"/>
          <w:sz w:val="20"/>
          <w:szCs w:val="20"/>
        </w:rPr>
        <w:br/>
      </w:r>
      <w:hyperlink r:id="rId78">
        <w:r>
          <w:rPr>
            <w:rStyle w:val="Style3"/>
            <w:rFonts w:eastAsia="Times New Roman" w:cs="Times New Roman" w:ascii="Times New Roman" w:hAnsi="Times New Roman"/>
            <w:color w:val="1155CC"/>
            <w:sz w:val="20"/>
            <w:szCs w:val="20"/>
            <w:u w:val="single"/>
          </w:rPr>
          <w:t>[LUD24]</w:t>
        </w:r>
      </w:hyperlink>
      <w:r>
        <w:rPr>
          <w:rFonts w:eastAsia="Times New Roman" w:cs="Times New Roman" w:ascii="Times New Roman" w:hAnsi="Times New Roman"/>
          <w:sz w:val="20"/>
          <w:szCs w:val="20"/>
        </w:rPr>
        <w:t xml:space="preserve"> F. Ludwig </w:t>
      </w:r>
      <w:r>
        <w:rPr>
          <w:rFonts w:eastAsia="Times New Roman" w:cs="Times New Roman" w:ascii="Times New Roman" w:hAnsi="Times New Roman"/>
          <w:i/>
          <w:iCs/>
          <w:sz w:val="20"/>
          <w:szCs w:val="20"/>
        </w:rPr>
        <w:t xml:space="preserve">et al. </w:t>
      </w:r>
      <w:r>
        <w:rPr>
          <w:rFonts w:eastAsia="Times New Roman" w:cs="Times New Roman" w:ascii="Times New Roman" w:hAnsi="Times New Roman"/>
          <w:sz w:val="20"/>
          <w:szCs w:val="20"/>
        </w:rPr>
        <w:t xml:space="preserve">ACS Appl. Electron. Mater. </w:t>
      </w:r>
      <w:r>
        <w:rPr>
          <w:rFonts w:eastAsia="Times New Roman" w:cs="Times New Roman" w:ascii="Times New Roman" w:hAnsi="Times New Roman"/>
          <w:b/>
          <w:bCs/>
          <w:sz w:val="20"/>
          <w:szCs w:val="20"/>
        </w:rPr>
        <w:t>6</w:t>
      </w:r>
      <w:r>
        <w:rPr>
          <w:rFonts w:eastAsia="Times New Roman" w:cs="Times New Roman" w:ascii="Times New Roman" w:hAnsi="Times New Roman"/>
          <w:sz w:val="20"/>
          <w:szCs w:val="20"/>
        </w:rPr>
        <w:t>, 2197 (2024).</w:t>
        <w:br/>
      </w:r>
      <w:hyperlink r:id="rId79">
        <w:r>
          <w:rPr>
            <w:rStyle w:val="Style3"/>
            <w:rFonts w:eastAsia="Times New Roman" w:cs="Times New Roman" w:ascii="Times New Roman" w:hAnsi="Times New Roman"/>
            <w:color w:val="1155CC"/>
            <w:sz w:val="20"/>
            <w:szCs w:val="20"/>
            <w:u w:val="single"/>
          </w:rPr>
          <w:t>[LUO25]</w:t>
        </w:r>
      </w:hyperlink>
      <w:r>
        <w:rPr>
          <w:rFonts w:eastAsia="Times New Roman" w:cs="Times New Roman" w:ascii="Times New Roman" w:hAnsi="Times New Roman"/>
          <w:sz w:val="20"/>
          <w:szCs w:val="20"/>
        </w:rPr>
        <w:t xml:space="preserve"> X.-P. Luo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Mater. Today Phys. </w:t>
      </w:r>
      <w:r>
        <w:rPr>
          <w:rFonts w:eastAsia="Times New Roman" w:cs="Times New Roman" w:ascii="Times New Roman" w:hAnsi="Times New Roman"/>
          <w:b/>
          <w:bCs/>
          <w:sz w:val="20"/>
          <w:szCs w:val="20"/>
        </w:rPr>
        <w:t>58</w:t>
      </w:r>
      <w:r>
        <w:rPr>
          <w:rFonts w:eastAsia="Times New Roman" w:cs="Times New Roman" w:ascii="Times New Roman" w:hAnsi="Times New Roman"/>
          <w:sz w:val="20"/>
          <w:szCs w:val="20"/>
        </w:rPr>
        <w:t>, 101855 (2025).</w:t>
      </w:r>
    </w:p>
    <w:p>
      <w:pPr>
        <w:pStyle w:val="Normal"/>
        <w:spacing w:lineRule="auto" w:line="240" w:before="0" w:after="0"/>
        <w:rPr>
          <w:rFonts w:ascii="Times New Roman" w:hAnsi="Times New Roman" w:eastAsia="Times New Roman" w:cs="Times New Roman"/>
          <w:sz w:val="20"/>
          <w:szCs w:val="20"/>
        </w:rPr>
      </w:pPr>
      <w:hyperlink r:id="rId80">
        <w:r>
          <w:rPr>
            <w:rStyle w:val="Style3"/>
            <w:rFonts w:eastAsia="Times New Roman" w:cs="Times New Roman" w:ascii="Times New Roman" w:hAnsi="Times New Roman"/>
            <w:color w:val="1155CC"/>
            <w:sz w:val="20"/>
            <w:szCs w:val="20"/>
            <w:u w:val="single"/>
          </w:rPr>
          <w:t>[MRE23]</w:t>
        </w:r>
      </w:hyperlink>
      <w:r>
        <w:rPr>
          <w:rFonts w:eastAsia="Times New Roman" w:cs="Times New Roman" w:ascii="Times New Roman" w:hAnsi="Times New Roman"/>
          <w:sz w:val="20"/>
          <w:szCs w:val="20"/>
        </w:rPr>
        <w:t xml:space="preserve"> A. Mreńca-Kolasińska </w:t>
      </w:r>
      <w:r>
        <w:rPr>
          <w:rFonts w:eastAsia="Times New Roman" w:cs="Times New Roman" w:ascii="Times New Roman" w:hAnsi="Times New Roman"/>
          <w:i/>
          <w:iCs/>
          <w:sz w:val="20"/>
          <w:szCs w:val="20"/>
        </w:rPr>
        <w:t xml:space="preserve">et al. </w:t>
      </w:r>
      <w:r>
        <w:rPr>
          <w:rFonts w:eastAsia="Times New Roman" w:cs="Times New Roman" w:ascii="Times New Roman" w:hAnsi="Times New Roman"/>
          <w:sz w:val="20"/>
          <w:szCs w:val="20"/>
        </w:rPr>
        <w:t xml:space="preserve">npj 2D Mater. Appl. </w:t>
      </w:r>
      <w:r>
        <w:rPr>
          <w:rFonts w:eastAsia="Times New Roman" w:cs="Times New Roman" w:ascii="Times New Roman" w:hAnsi="Times New Roman"/>
          <w:b/>
          <w:bCs/>
          <w:sz w:val="20"/>
          <w:szCs w:val="20"/>
        </w:rPr>
        <w:t>7</w:t>
      </w:r>
      <w:r>
        <w:rPr>
          <w:rFonts w:eastAsia="Times New Roman" w:cs="Times New Roman" w:ascii="Times New Roman" w:hAnsi="Times New Roman"/>
          <w:sz w:val="20"/>
          <w:szCs w:val="20"/>
        </w:rPr>
        <w:t>, 64 (2023).</w:t>
      </w:r>
    </w:p>
    <w:p>
      <w:pPr>
        <w:pStyle w:val="Normal"/>
        <w:spacing w:lineRule="auto" w:line="240" w:before="0" w:after="0"/>
        <w:rPr>
          <w:rFonts w:ascii="Times New Roman" w:hAnsi="Times New Roman" w:eastAsia="Times New Roman" w:cs="Times New Roman"/>
          <w:sz w:val="20"/>
          <w:szCs w:val="20"/>
        </w:rPr>
      </w:pPr>
      <w:hyperlink r:id="rId81">
        <w:r>
          <w:rPr>
            <w:rStyle w:val="Style3"/>
            <w:rFonts w:eastAsia="Times New Roman" w:cs="Times New Roman" w:ascii="Times New Roman" w:hAnsi="Times New Roman"/>
            <w:color w:val="1155CC"/>
            <w:sz w:val="20"/>
            <w:szCs w:val="20"/>
            <w:u w:val="single"/>
          </w:rPr>
          <w:t>[MAR23]</w:t>
        </w:r>
      </w:hyperlink>
      <w:r>
        <w:rPr>
          <w:rFonts w:eastAsia="Times New Roman" w:cs="Times New Roman" w:ascii="Times New Roman" w:hAnsi="Times New Roman"/>
          <w:sz w:val="20"/>
          <w:szCs w:val="20"/>
        </w:rPr>
        <w:t xml:space="preserve"> D. Martínez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Am. J. Phys. </w:t>
      </w:r>
      <w:r>
        <w:rPr>
          <w:rFonts w:eastAsia="Times New Roman" w:cs="Times New Roman" w:ascii="Times New Roman" w:hAnsi="Times New Roman"/>
          <w:b/>
          <w:bCs/>
          <w:sz w:val="20"/>
          <w:szCs w:val="20"/>
        </w:rPr>
        <w:t>91</w:t>
      </w:r>
      <w:r>
        <w:rPr>
          <w:rFonts w:eastAsia="Times New Roman" w:cs="Times New Roman" w:ascii="Times New Roman" w:hAnsi="Times New Roman"/>
          <w:sz w:val="20"/>
          <w:szCs w:val="20"/>
        </w:rPr>
        <w:t>, 812 (2023).</w:t>
      </w:r>
    </w:p>
    <w:p>
      <w:pPr>
        <w:pStyle w:val="Normal"/>
        <w:spacing w:lineRule="auto" w:line="240" w:before="0" w:after="0"/>
        <w:rPr>
          <w:rFonts w:ascii="Times New Roman" w:hAnsi="Times New Roman" w:eastAsia="Times New Roman" w:cs="Times New Roman"/>
          <w:sz w:val="20"/>
          <w:szCs w:val="20"/>
        </w:rPr>
      </w:pPr>
      <w:hyperlink r:id="rId82">
        <w:r>
          <w:rPr>
            <w:rStyle w:val="Style3"/>
            <w:rFonts w:eastAsia="Times New Roman" w:cs="Times New Roman" w:ascii="Times New Roman" w:hAnsi="Times New Roman"/>
            <w:color w:val="1155CC"/>
            <w:sz w:val="20"/>
            <w:szCs w:val="20"/>
            <w:u w:val="single"/>
          </w:rPr>
          <w:t>[MAR25]</w:t>
        </w:r>
      </w:hyperlink>
      <w:r>
        <w:rPr>
          <w:rFonts w:eastAsia="Times New Roman" w:cs="Times New Roman" w:ascii="Times New Roman" w:hAnsi="Times New Roman"/>
          <w:sz w:val="20"/>
          <w:szCs w:val="20"/>
        </w:rPr>
        <w:t xml:space="preserve"> D. Martínez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Physica E </w:t>
      </w:r>
      <w:r>
        <w:rPr>
          <w:rFonts w:eastAsia="Times New Roman" w:cs="Times New Roman" w:ascii="Times New Roman" w:hAnsi="Times New Roman"/>
          <w:b/>
          <w:bCs/>
          <w:sz w:val="20"/>
          <w:szCs w:val="20"/>
        </w:rPr>
        <w:t>166</w:t>
      </w:r>
      <w:r>
        <w:rPr>
          <w:rFonts w:eastAsia="Times New Roman" w:cs="Times New Roman" w:ascii="Times New Roman" w:hAnsi="Times New Roman"/>
          <w:sz w:val="20"/>
          <w:szCs w:val="20"/>
        </w:rPr>
        <w:t>, 116145 (2025).</w:t>
      </w:r>
    </w:p>
    <w:p>
      <w:pPr>
        <w:pStyle w:val="Normal"/>
        <w:spacing w:lineRule="auto" w:line="240" w:before="0" w:after="0"/>
        <w:rPr>
          <w:rFonts w:ascii="Times New Roman" w:hAnsi="Times New Roman" w:eastAsia="Times New Roman" w:cs="Times New Roman"/>
          <w:sz w:val="20"/>
          <w:szCs w:val="20"/>
        </w:rPr>
      </w:pPr>
      <w:hyperlink r:id="rId83">
        <w:r>
          <w:rPr>
            <w:rStyle w:val="Style3"/>
            <w:rFonts w:eastAsia="Times New Roman" w:cs="Times New Roman" w:ascii="Times New Roman" w:hAnsi="Times New Roman"/>
            <w:color w:val="1155CC"/>
            <w:sz w:val="20"/>
            <w:szCs w:val="20"/>
            <w:u w:val="single"/>
          </w:rPr>
          <w:t>[MOL24]</w:t>
        </w:r>
      </w:hyperlink>
      <w:r>
        <w:rPr>
          <w:rFonts w:eastAsia="Times New Roman" w:cs="Times New Roman" w:ascii="Times New Roman" w:hAnsi="Times New Roman"/>
          <w:sz w:val="20"/>
          <w:szCs w:val="20"/>
        </w:rPr>
        <w:t xml:space="preserve"> P. Moles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Rev. B </w:t>
      </w:r>
      <w:r>
        <w:rPr>
          <w:rFonts w:eastAsia="Times New Roman" w:cs="Times New Roman" w:ascii="Times New Roman" w:hAnsi="Times New Roman"/>
          <w:b/>
          <w:bCs/>
          <w:sz w:val="20"/>
          <w:szCs w:val="20"/>
        </w:rPr>
        <w:t>109</w:t>
      </w:r>
      <w:r>
        <w:rPr>
          <w:rFonts w:eastAsia="Times New Roman" w:cs="Times New Roman" w:ascii="Times New Roman" w:hAnsi="Times New Roman"/>
          <w:sz w:val="20"/>
          <w:szCs w:val="20"/>
        </w:rPr>
        <w:t xml:space="preserve">, 045415 (2024). </w:t>
      </w:r>
    </w:p>
    <w:p>
      <w:pPr>
        <w:pStyle w:val="Normal"/>
        <w:spacing w:lineRule="auto" w:line="240" w:before="0" w:after="0"/>
        <w:rPr>
          <w:rFonts w:ascii="Times New Roman" w:hAnsi="Times New Roman" w:eastAsia="Times New Roman" w:cs="Times New Roman"/>
          <w:sz w:val="20"/>
          <w:szCs w:val="20"/>
        </w:rPr>
      </w:pPr>
      <w:hyperlink r:id="rId84">
        <w:r>
          <w:rPr>
            <w:rStyle w:val="Style3"/>
            <w:rFonts w:eastAsia="Times New Roman" w:cs="Times New Roman" w:ascii="Times New Roman" w:hAnsi="Times New Roman"/>
            <w:color w:val="1155CC"/>
            <w:sz w:val="20"/>
            <w:szCs w:val="20"/>
            <w:u w:val="single"/>
          </w:rPr>
          <w:t>[MOL25]</w:t>
        </w:r>
      </w:hyperlink>
      <w:r>
        <w:rPr>
          <w:rFonts w:eastAsia="Times New Roman" w:cs="Times New Roman" w:ascii="Times New Roman" w:hAnsi="Times New Roman"/>
          <w:sz w:val="20"/>
          <w:szCs w:val="20"/>
        </w:rPr>
        <w:t xml:space="preserve"> P. Moles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Rev. Research </w:t>
      </w:r>
      <w:r>
        <w:rPr>
          <w:rFonts w:eastAsia="Times New Roman" w:cs="Times New Roman" w:ascii="Times New Roman" w:hAnsi="Times New Roman"/>
          <w:b/>
          <w:bCs/>
          <w:sz w:val="20"/>
          <w:szCs w:val="20"/>
        </w:rPr>
        <w:t>7</w:t>
      </w:r>
      <w:r>
        <w:rPr>
          <w:rFonts w:eastAsia="Times New Roman" w:cs="Times New Roman" w:ascii="Times New Roman" w:hAnsi="Times New Roman"/>
          <w:sz w:val="20"/>
          <w:szCs w:val="20"/>
        </w:rPr>
        <w:t xml:space="preserve">, 033255 (2025). </w:t>
      </w:r>
    </w:p>
    <w:p>
      <w:pPr>
        <w:pStyle w:val="Normal"/>
        <w:spacing w:lineRule="auto" w:line="240" w:before="0" w:after="0"/>
        <w:rPr>
          <w:rFonts w:ascii="Times New Roman" w:hAnsi="Times New Roman" w:eastAsia="Times New Roman" w:cs="Times New Roman"/>
          <w:sz w:val="20"/>
          <w:szCs w:val="20"/>
        </w:rPr>
      </w:pPr>
      <w:hyperlink r:id="rId85">
        <w:r>
          <w:rPr>
            <w:rStyle w:val="Style3"/>
            <w:rFonts w:eastAsia="Times New Roman" w:cs="Times New Roman" w:ascii="Times New Roman" w:hAnsi="Times New Roman"/>
            <w:color w:val="1155CC"/>
            <w:sz w:val="20"/>
            <w:szCs w:val="20"/>
            <w:u w:val="single"/>
          </w:rPr>
          <w:t>[MON18]</w:t>
        </w:r>
      </w:hyperlink>
      <w:r>
        <w:rPr>
          <w:rFonts w:eastAsia="Times New Roman" w:cs="Times New Roman" w:ascii="Times New Roman" w:hAnsi="Times New Roman"/>
          <w:sz w:val="20"/>
          <w:szCs w:val="20"/>
        </w:rPr>
        <w:t xml:space="preserve"> R. Mondaini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Rev. B </w:t>
      </w:r>
      <w:r>
        <w:rPr>
          <w:rFonts w:eastAsia="Times New Roman" w:cs="Times New Roman" w:ascii="Times New Roman" w:hAnsi="Times New Roman"/>
          <w:b/>
          <w:bCs/>
          <w:sz w:val="20"/>
          <w:szCs w:val="20"/>
        </w:rPr>
        <w:t>98</w:t>
      </w:r>
      <w:r>
        <w:rPr>
          <w:rFonts w:eastAsia="Times New Roman" w:cs="Times New Roman" w:ascii="Times New Roman" w:hAnsi="Times New Roman"/>
          <w:sz w:val="20"/>
          <w:szCs w:val="20"/>
        </w:rPr>
        <w:t>, 155142 (2018).</w:t>
      </w:r>
    </w:p>
    <w:p>
      <w:pPr>
        <w:pStyle w:val="Normal"/>
        <w:spacing w:lineRule="auto" w:line="240" w:before="0" w:after="0"/>
        <w:rPr>
          <w:rFonts w:ascii="Times New Roman" w:hAnsi="Times New Roman" w:eastAsia="Times New Roman" w:cs="Times New Roman"/>
          <w:sz w:val="20"/>
          <w:szCs w:val="20"/>
        </w:rPr>
      </w:pPr>
      <w:hyperlink r:id="rId86">
        <w:r>
          <w:rPr>
            <w:rStyle w:val="Style3"/>
            <w:rFonts w:eastAsia="Times New Roman" w:cs="Times New Roman" w:ascii="Times New Roman" w:hAnsi="Times New Roman"/>
            <w:color w:val="1155CC"/>
            <w:sz w:val="20"/>
            <w:szCs w:val="20"/>
            <w:u w:val="single"/>
          </w:rPr>
          <w:t>[MOS09]</w:t>
        </w:r>
      </w:hyperlink>
      <w:r>
        <w:rPr>
          <w:rFonts w:eastAsia="Times New Roman" w:cs="Times New Roman" w:ascii="Times New Roman" w:hAnsi="Times New Roman"/>
          <w:sz w:val="20"/>
          <w:szCs w:val="20"/>
        </w:rPr>
        <w:t xml:space="preserve"> V. Moschalkov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Rev. Lett. </w:t>
      </w:r>
      <w:r>
        <w:rPr>
          <w:rFonts w:eastAsia="Times New Roman" w:cs="Times New Roman" w:ascii="Times New Roman" w:hAnsi="Times New Roman"/>
          <w:b/>
          <w:bCs/>
          <w:sz w:val="20"/>
          <w:szCs w:val="20"/>
        </w:rPr>
        <w:t>102</w:t>
      </w:r>
      <w:r>
        <w:rPr>
          <w:rFonts w:eastAsia="Times New Roman" w:cs="Times New Roman" w:ascii="Times New Roman" w:hAnsi="Times New Roman"/>
          <w:sz w:val="20"/>
          <w:szCs w:val="20"/>
        </w:rPr>
        <w:t>, 117001 (2009).</w:t>
      </w:r>
    </w:p>
    <w:p>
      <w:pPr>
        <w:pStyle w:val="Normal"/>
        <w:spacing w:lineRule="auto" w:line="240" w:before="0" w:after="0"/>
        <w:rPr>
          <w:rFonts w:ascii="Times New Roman" w:hAnsi="Times New Roman" w:eastAsia="Times New Roman" w:cs="Times New Roman"/>
          <w:sz w:val="20"/>
          <w:szCs w:val="20"/>
        </w:rPr>
      </w:pPr>
      <w:hyperlink r:id="rId87">
        <w:r>
          <w:rPr>
            <w:rStyle w:val="Style3"/>
            <w:rFonts w:eastAsia="Times New Roman" w:cs="Times New Roman" w:ascii="Times New Roman" w:hAnsi="Times New Roman"/>
            <w:color w:val="1155CC"/>
            <w:sz w:val="20"/>
            <w:szCs w:val="20"/>
            <w:u w:val="single"/>
          </w:rPr>
          <w:t>[MOS14]</w:t>
        </w:r>
      </w:hyperlink>
      <w:r>
        <w:rPr>
          <w:rFonts w:eastAsia="Times New Roman" w:cs="Times New Roman" w:ascii="Times New Roman" w:hAnsi="Times New Roman"/>
          <w:sz w:val="20"/>
          <w:szCs w:val="20"/>
        </w:rPr>
        <w:t xml:space="preserve"> A. A. Mostofi </w:t>
      </w:r>
      <w:r>
        <w:rPr>
          <w:rFonts w:eastAsia="Times New Roman" w:cs="Times New Roman" w:ascii="Times New Roman" w:hAnsi="Times New Roman"/>
          <w:i/>
          <w:iCs/>
          <w:sz w:val="20"/>
          <w:szCs w:val="20"/>
        </w:rPr>
        <w:t xml:space="preserve">et al. </w:t>
      </w:r>
      <w:r>
        <w:rPr>
          <w:rFonts w:eastAsia="Times New Roman" w:cs="Times New Roman" w:ascii="Times New Roman" w:hAnsi="Times New Roman"/>
          <w:sz w:val="20"/>
          <w:szCs w:val="20"/>
        </w:rPr>
        <w:t xml:space="preserve">Comput. Phys. Commun. </w:t>
      </w:r>
      <w:r>
        <w:rPr>
          <w:rFonts w:eastAsia="Times New Roman" w:cs="Times New Roman" w:ascii="Times New Roman" w:hAnsi="Times New Roman"/>
          <w:b/>
          <w:bCs/>
          <w:sz w:val="20"/>
          <w:szCs w:val="20"/>
        </w:rPr>
        <w:t>185</w:t>
      </w:r>
      <w:r>
        <w:rPr>
          <w:rFonts w:eastAsia="Times New Roman" w:cs="Times New Roman" w:ascii="Times New Roman" w:hAnsi="Times New Roman"/>
          <w:sz w:val="20"/>
          <w:szCs w:val="20"/>
        </w:rPr>
        <w:t>, 2309 (2014).</w:t>
      </w:r>
    </w:p>
    <w:p>
      <w:pPr>
        <w:pStyle w:val="Normal"/>
        <w:spacing w:lineRule="auto" w:line="240" w:before="0" w:after="0"/>
        <w:rPr>
          <w:rFonts w:ascii="Times New Roman" w:hAnsi="Times New Roman" w:eastAsia="Times New Roman" w:cs="Times New Roman"/>
          <w:sz w:val="20"/>
          <w:szCs w:val="20"/>
        </w:rPr>
      </w:pPr>
      <w:hyperlink r:id="rId88">
        <w:r>
          <w:rPr>
            <w:rStyle w:val="Style3"/>
            <w:rFonts w:eastAsia="Times New Roman" w:cs="Times New Roman" w:ascii="Times New Roman" w:hAnsi="Times New Roman"/>
            <w:color w:val="1155CC"/>
            <w:sz w:val="20"/>
            <w:szCs w:val="20"/>
            <w:u w:val="single"/>
          </w:rPr>
          <w:t>[NEM07]</w:t>
        </w:r>
      </w:hyperlink>
      <w:r>
        <w:rPr>
          <w:rFonts w:eastAsia="Times New Roman" w:cs="Times New Roman" w:ascii="Times New Roman" w:hAnsi="Times New Roman"/>
          <w:sz w:val="20"/>
          <w:szCs w:val="20"/>
        </w:rPr>
        <w:t xml:space="preserve"> N. Nemec </w:t>
      </w:r>
      <w:r>
        <w:rPr>
          <w:rFonts w:eastAsia="Times New Roman" w:cs="Times New Roman" w:ascii="Times New Roman" w:hAnsi="Times New Roman"/>
          <w:i/>
          <w:iCs/>
          <w:sz w:val="20"/>
          <w:szCs w:val="20"/>
        </w:rPr>
        <w:t xml:space="preserve">et al. </w:t>
      </w:r>
      <w:r>
        <w:rPr>
          <w:rFonts w:eastAsia="Times New Roman" w:cs="Times New Roman" w:ascii="Times New Roman" w:hAnsi="Times New Roman"/>
          <w:sz w:val="20"/>
          <w:szCs w:val="20"/>
        </w:rPr>
        <w:t xml:space="preserve">Phys. Rev. B </w:t>
      </w:r>
      <w:r>
        <w:rPr>
          <w:rFonts w:eastAsia="Times New Roman" w:cs="Times New Roman" w:ascii="Times New Roman" w:hAnsi="Times New Roman"/>
          <w:b/>
          <w:bCs/>
          <w:sz w:val="20"/>
          <w:szCs w:val="20"/>
        </w:rPr>
        <w:t>75</w:t>
      </w:r>
      <w:r>
        <w:rPr>
          <w:rFonts w:eastAsia="Times New Roman" w:cs="Times New Roman" w:ascii="Times New Roman" w:hAnsi="Times New Roman"/>
          <w:sz w:val="20"/>
          <w:szCs w:val="20"/>
        </w:rPr>
        <w:t>, 201404 (2007).</w:t>
      </w:r>
    </w:p>
    <w:p>
      <w:pPr>
        <w:pStyle w:val="Normal"/>
        <w:spacing w:lineRule="auto" w:line="240" w:before="0" w:after="0"/>
        <w:rPr>
          <w:rFonts w:ascii="Times New Roman" w:hAnsi="Times New Roman" w:eastAsia="Times New Roman" w:cs="Times New Roman"/>
          <w:sz w:val="20"/>
          <w:szCs w:val="20"/>
        </w:rPr>
      </w:pPr>
      <w:r>
        <w:rPr>
          <w:rFonts w:eastAsia="Times New Roman" w:cs="Times New Roman" w:ascii="Times New Roman" w:hAnsi="Times New Roman"/>
          <w:sz w:val="20"/>
          <w:szCs w:val="20"/>
        </w:rPr>
        <w:t>[</w:t>
      </w:r>
      <w:hyperlink r:id="rId89">
        <w:r>
          <w:rPr>
            <w:rStyle w:val="Style3"/>
            <w:rFonts w:eastAsia="Times New Roman" w:cs="Times New Roman" w:ascii="Times New Roman" w:hAnsi="Times New Roman"/>
            <w:color w:val="1155CC"/>
            <w:sz w:val="20"/>
            <w:szCs w:val="20"/>
            <w:u w:val="single"/>
          </w:rPr>
          <w:t>NUÑ24]</w:t>
        </w:r>
      </w:hyperlink>
      <w:r>
        <w:rPr>
          <w:rFonts w:eastAsia="Times New Roman" w:cs="Times New Roman" w:ascii="Times New Roman" w:hAnsi="Times New Roman"/>
          <w:sz w:val="20"/>
          <w:szCs w:val="20"/>
        </w:rPr>
        <w:t xml:space="preserve"> V. Núñez </w:t>
      </w:r>
      <w:r>
        <w:rPr>
          <w:rFonts w:eastAsia="Times New Roman" w:cs="Times New Roman" w:ascii="Times New Roman" w:hAnsi="Times New Roman"/>
          <w:i/>
          <w:iCs/>
          <w:sz w:val="20"/>
          <w:szCs w:val="20"/>
        </w:rPr>
        <w:t xml:space="preserve">et al. </w:t>
      </w:r>
      <w:r>
        <w:rPr>
          <w:rFonts w:eastAsia="Times New Roman" w:cs="Times New Roman" w:ascii="Times New Roman" w:hAnsi="Times New Roman"/>
          <w:sz w:val="20"/>
          <w:szCs w:val="20"/>
        </w:rPr>
        <w:t xml:space="preserve">2D Materials </w:t>
      </w:r>
      <w:r>
        <w:rPr>
          <w:rFonts w:eastAsia="Times New Roman" w:cs="Times New Roman" w:ascii="Times New Roman" w:hAnsi="Times New Roman"/>
          <w:b/>
          <w:bCs/>
          <w:sz w:val="20"/>
          <w:szCs w:val="20"/>
        </w:rPr>
        <w:t>11</w:t>
      </w:r>
      <w:r>
        <w:rPr>
          <w:rFonts w:eastAsia="Times New Roman" w:cs="Times New Roman" w:ascii="Times New Roman" w:hAnsi="Times New Roman"/>
          <w:sz w:val="20"/>
          <w:szCs w:val="20"/>
        </w:rPr>
        <w:t>, 01515 (2024).</w:t>
      </w:r>
    </w:p>
    <w:p>
      <w:pPr>
        <w:pStyle w:val="Normal"/>
        <w:spacing w:lineRule="auto" w:line="240" w:before="0" w:after="0"/>
        <w:rPr>
          <w:rFonts w:ascii="Times New Roman" w:hAnsi="Times New Roman" w:eastAsia="Times New Roman" w:cs="Times New Roman"/>
          <w:sz w:val="20"/>
          <w:szCs w:val="20"/>
        </w:rPr>
      </w:pPr>
      <w:hyperlink r:id="rId90">
        <w:r>
          <w:rPr>
            <w:rStyle w:val="Style3"/>
            <w:rFonts w:eastAsia="Times New Roman" w:cs="Times New Roman" w:ascii="Times New Roman" w:hAnsi="Times New Roman"/>
            <w:color w:val="1155CC"/>
            <w:sz w:val="20"/>
            <w:szCs w:val="20"/>
            <w:u w:val="single"/>
          </w:rPr>
          <w:t>[PER19]</w:t>
        </w:r>
      </w:hyperlink>
      <w:r>
        <w:rPr>
          <w:rFonts w:eastAsia="Times New Roman" w:cs="Times New Roman" w:ascii="Times New Roman" w:hAnsi="Times New Roman"/>
          <w:b/>
          <w:bCs/>
          <w:sz w:val="20"/>
          <w:szCs w:val="20"/>
        </w:rPr>
        <w:t xml:space="preserve"> </w:t>
      </w:r>
      <w:r>
        <w:rPr>
          <w:rFonts w:eastAsia="Times New Roman" w:cs="Times New Roman" w:ascii="Times New Roman" w:hAnsi="Times New Roman"/>
          <w:sz w:val="20"/>
          <w:szCs w:val="20"/>
        </w:rPr>
        <w:t xml:space="preserve">B. Pérez-Rodríguez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Rev. Lett. </w:t>
      </w:r>
      <w:r>
        <w:rPr>
          <w:rFonts w:eastAsia="Times New Roman" w:cs="Times New Roman" w:ascii="Times New Roman" w:hAnsi="Times New Roman"/>
          <w:b/>
          <w:bCs/>
          <w:sz w:val="20"/>
          <w:szCs w:val="20"/>
        </w:rPr>
        <w:t>123</w:t>
      </w:r>
      <w:r>
        <w:rPr>
          <w:rFonts w:eastAsia="Times New Roman" w:cs="Times New Roman" w:ascii="Times New Roman" w:hAnsi="Times New Roman"/>
          <w:sz w:val="20"/>
          <w:szCs w:val="20"/>
        </w:rPr>
        <w:t>, 126401 (2019).</w:t>
      </w:r>
    </w:p>
    <w:p>
      <w:pPr>
        <w:pStyle w:val="Normal"/>
        <w:spacing w:lineRule="auto" w:line="240" w:before="0" w:after="0"/>
        <w:rPr>
          <w:rFonts w:ascii="Times New Roman" w:hAnsi="Times New Roman" w:eastAsia="Times New Roman" w:cs="Times New Roman"/>
          <w:sz w:val="20"/>
          <w:szCs w:val="20"/>
        </w:rPr>
      </w:pPr>
      <w:hyperlink r:id="rId91">
        <w:r>
          <w:rPr>
            <w:rStyle w:val="Style3"/>
            <w:rFonts w:eastAsia="Times New Roman" w:cs="Times New Roman" w:ascii="Times New Roman" w:hAnsi="Times New Roman"/>
            <w:color w:val="1155CC"/>
            <w:sz w:val="20"/>
            <w:szCs w:val="20"/>
            <w:u w:val="single"/>
          </w:rPr>
          <w:t>[ORE10]</w:t>
        </w:r>
      </w:hyperlink>
      <w:r>
        <w:rPr>
          <w:rFonts w:eastAsia="Times New Roman" w:cs="Times New Roman" w:ascii="Times New Roman" w:hAnsi="Times New Roman"/>
          <w:sz w:val="20"/>
          <w:szCs w:val="20"/>
        </w:rPr>
        <w:t xml:space="preserve"> Y. Oreg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Rev. Lett., </w:t>
      </w:r>
      <w:r>
        <w:rPr>
          <w:rFonts w:eastAsia="Times New Roman" w:cs="Times New Roman" w:ascii="Times New Roman" w:hAnsi="Times New Roman"/>
          <w:b/>
          <w:bCs/>
          <w:sz w:val="20"/>
          <w:szCs w:val="20"/>
        </w:rPr>
        <w:t>105</w:t>
      </w:r>
      <w:r>
        <w:rPr>
          <w:rFonts w:eastAsia="Times New Roman" w:cs="Times New Roman" w:ascii="Times New Roman" w:hAnsi="Times New Roman"/>
          <w:sz w:val="20"/>
          <w:szCs w:val="20"/>
        </w:rPr>
        <w:t>, 177002 (2010).</w:t>
      </w:r>
    </w:p>
    <w:p>
      <w:pPr>
        <w:pStyle w:val="Normal"/>
        <w:spacing w:lineRule="auto" w:line="240" w:before="0" w:after="0"/>
        <w:rPr>
          <w:rFonts w:ascii="Times New Roman" w:hAnsi="Times New Roman" w:eastAsia="Times New Roman" w:cs="Times New Roman"/>
          <w:b/>
          <w:bCs/>
          <w:sz w:val="20"/>
          <w:szCs w:val="20"/>
        </w:rPr>
      </w:pPr>
      <w:hyperlink r:id="rId92">
        <w:r>
          <w:rPr>
            <w:rStyle w:val="Style3"/>
            <w:rFonts w:eastAsia="Times New Roman" w:cs="Times New Roman" w:ascii="Times New Roman" w:hAnsi="Times New Roman"/>
            <w:color w:val="1155CC"/>
            <w:sz w:val="20"/>
            <w:szCs w:val="20"/>
            <w:u w:val="single"/>
          </w:rPr>
          <w:t>[PER24</w:t>
        </w:r>
      </w:hyperlink>
      <w:r>
        <w:rPr>
          <w:rFonts w:eastAsia="Times New Roman" w:cs="Times New Roman" w:ascii="Times New Roman" w:hAnsi="Times New Roman"/>
          <w:sz w:val="20"/>
          <w:szCs w:val="20"/>
        </w:rPr>
        <w:t xml:space="preserve">] F. Pérez Riffo </w:t>
      </w:r>
      <w:r>
        <w:rPr>
          <w:rFonts w:eastAsia="Times New Roman" w:cs="Times New Roman" w:ascii="Times New Roman" w:hAnsi="Times New Roman"/>
          <w:i/>
          <w:iCs/>
          <w:color w:val="222222"/>
          <w:sz w:val="20"/>
          <w:szCs w:val="20"/>
        </w:rPr>
        <w:t xml:space="preserve">et al. </w:t>
      </w:r>
      <w:r>
        <w:rPr>
          <w:rFonts w:eastAsia="Times New Roman" w:cs="Times New Roman" w:ascii="Times New Roman" w:hAnsi="Times New Roman"/>
          <w:color w:val="222222"/>
          <w:sz w:val="20"/>
          <w:szCs w:val="20"/>
        </w:rPr>
        <w:t xml:space="preserve">Carbon </w:t>
      </w:r>
      <w:r>
        <w:rPr>
          <w:rFonts w:eastAsia="Times New Roman" w:cs="Times New Roman" w:ascii="Times New Roman" w:hAnsi="Times New Roman"/>
          <w:b/>
          <w:bCs/>
          <w:color w:val="222222"/>
          <w:sz w:val="20"/>
          <w:szCs w:val="20"/>
        </w:rPr>
        <w:t>222</w:t>
      </w:r>
      <w:r>
        <w:rPr>
          <w:rFonts w:eastAsia="Times New Roman" w:cs="Times New Roman" w:ascii="Times New Roman" w:hAnsi="Times New Roman"/>
          <w:color w:val="222222"/>
          <w:sz w:val="20"/>
          <w:szCs w:val="20"/>
        </w:rPr>
        <w:t xml:space="preserve">, 118952 (2024). </w:t>
      </w:r>
      <w:r>
        <w:rPr>
          <w:rFonts w:eastAsia="Times New Roman" w:cs="Times New Roman" w:ascii="Times New Roman" w:hAnsi="Times New Roman"/>
          <w:b/>
          <w:bCs/>
          <w:sz w:val="20"/>
          <w:szCs w:val="20"/>
        </w:rPr>
        <w:tab/>
        <w:t xml:space="preserve"> </w:t>
        <w:tab/>
      </w:r>
    </w:p>
    <w:p>
      <w:pPr>
        <w:pStyle w:val="Normal"/>
        <w:spacing w:lineRule="auto" w:line="240" w:before="0" w:after="0"/>
        <w:rPr>
          <w:rFonts w:ascii="Times New Roman" w:hAnsi="Times New Roman" w:eastAsia="Times New Roman" w:cs="Times New Roman"/>
          <w:sz w:val="20"/>
          <w:szCs w:val="20"/>
        </w:rPr>
      </w:pPr>
      <w:hyperlink r:id="rId93">
        <w:r>
          <w:rPr>
            <w:rStyle w:val="Style3"/>
            <w:rFonts w:eastAsia="Times New Roman" w:cs="Times New Roman" w:ascii="Times New Roman" w:hAnsi="Times New Roman"/>
            <w:color w:val="1155CC"/>
            <w:sz w:val="20"/>
            <w:szCs w:val="20"/>
            <w:u w:val="single"/>
          </w:rPr>
          <w:t>[POL20]</w:t>
        </w:r>
      </w:hyperlink>
      <w:r>
        <w:rPr>
          <w:rFonts w:eastAsia="Times New Roman" w:cs="Times New Roman" w:ascii="Times New Roman" w:hAnsi="Times New Roman"/>
          <w:b/>
          <w:bCs/>
          <w:sz w:val="20"/>
          <w:szCs w:val="20"/>
        </w:rPr>
        <w:t xml:space="preserve"> </w:t>
      </w:r>
      <w:r>
        <w:rPr>
          <w:rFonts w:eastAsia="Times New Roman" w:cs="Times New Roman" w:ascii="Times New Roman" w:hAnsi="Times New Roman"/>
          <w:sz w:val="20"/>
          <w:szCs w:val="20"/>
        </w:rPr>
        <w:t xml:space="preserve">M. Polini and A. K. Geim, Phys. Today </w:t>
      </w:r>
      <w:r>
        <w:rPr>
          <w:rFonts w:eastAsia="Times New Roman" w:cs="Times New Roman" w:ascii="Times New Roman" w:hAnsi="Times New Roman"/>
          <w:b/>
          <w:bCs/>
          <w:sz w:val="20"/>
          <w:szCs w:val="20"/>
        </w:rPr>
        <w:t>73</w:t>
      </w:r>
      <w:r>
        <w:rPr>
          <w:rFonts w:eastAsia="Times New Roman" w:cs="Times New Roman" w:ascii="Times New Roman" w:hAnsi="Times New Roman"/>
          <w:sz w:val="20"/>
          <w:szCs w:val="20"/>
        </w:rPr>
        <w:t>, 28 (2020).</w:t>
      </w:r>
    </w:p>
    <w:p>
      <w:pPr>
        <w:pStyle w:val="Normal"/>
        <w:spacing w:lineRule="auto" w:line="240" w:before="0" w:after="0"/>
        <w:rPr>
          <w:rFonts w:ascii="Times New Roman" w:hAnsi="Times New Roman" w:eastAsia="Times New Roman" w:cs="Times New Roman"/>
          <w:sz w:val="20"/>
          <w:szCs w:val="20"/>
        </w:rPr>
      </w:pPr>
      <w:hyperlink r:id="rId94">
        <w:r>
          <w:rPr>
            <w:rStyle w:val="Style3"/>
            <w:rFonts w:eastAsia="Times New Roman" w:cs="Times New Roman" w:ascii="Times New Roman" w:hAnsi="Times New Roman"/>
            <w:color w:val="1155CC"/>
            <w:sz w:val="20"/>
            <w:szCs w:val="20"/>
            <w:u w:val="single"/>
          </w:rPr>
          <w:t>[RAY22]</w:t>
        </w:r>
      </w:hyperlink>
      <w:r>
        <w:rPr>
          <w:rFonts w:eastAsia="Times New Roman" w:cs="Times New Roman" w:ascii="Times New Roman" w:hAnsi="Times New Roman"/>
          <w:sz w:val="20"/>
          <w:szCs w:val="20"/>
        </w:rPr>
        <w:t xml:space="preserve"> M. Raya-Moreno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Comput. Phys. Commun. </w:t>
      </w:r>
      <w:r>
        <w:rPr>
          <w:rFonts w:eastAsia="Times New Roman" w:cs="Times New Roman" w:ascii="Times New Roman" w:hAnsi="Times New Roman"/>
          <w:b/>
          <w:bCs/>
          <w:sz w:val="20"/>
          <w:szCs w:val="20"/>
        </w:rPr>
        <w:t>281</w:t>
      </w:r>
      <w:r>
        <w:rPr>
          <w:rFonts w:eastAsia="Times New Roman" w:cs="Times New Roman" w:ascii="Times New Roman" w:hAnsi="Times New Roman"/>
          <w:sz w:val="20"/>
          <w:szCs w:val="20"/>
        </w:rPr>
        <w:t>, 108504 (2022).</w:t>
      </w:r>
    </w:p>
    <w:p>
      <w:pPr>
        <w:pStyle w:val="Normal"/>
        <w:spacing w:lineRule="auto" w:line="240" w:before="0" w:after="0"/>
        <w:rPr>
          <w:rFonts w:ascii="Times New Roman" w:hAnsi="Times New Roman" w:eastAsia="Times New Roman" w:cs="Times New Roman"/>
          <w:sz w:val="20"/>
          <w:szCs w:val="20"/>
        </w:rPr>
      </w:pPr>
      <w:hyperlink r:id="rId95">
        <w:r>
          <w:rPr>
            <w:rStyle w:val="Style3"/>
            <w:rFonts w:eastAsia="Times New Roman" w:cs="Times New Roman" w:ascii="Times New Roman" w:hAnsi="Times New Roman"/>
            <w:color w:val="1155CC"/>
            <w:sz w:val="20"/>
            <w:szCs w:val="20"/>
            <w:u w:val="single"/>
          </w:rPr>
          <w:t>[RIB18]</w:t>
        </w:r>
      </w:hyperlink>
      <w:r>
        <w:rPr>
          <w:rFonts w:eastAsia="Times New Roman" w:cs="Times New Roman" w:ascii="Times New Roman" w:hAnsi="Times New Roman"/>
          <w:sz w:val="20"/>
          <w:szCs w:val="20"/>
        </w:rPr>
        <w:t xml:space="preserve"> R. Ribeiro-Palau </w:t>
      </w:r>
      <w:r>
        <w:rPr>
          <w:rFonts w:eastAsia="Times New Roman" w:cs="Times New Roman" w:ascii="Times New Roman" w:hAnsi="Times New Roman"/>
          <w:i/>
          <w:iCs/>
          <w:color w:val="222222"/>
          <w:sz w:val="20"/>
          <w:szCs w:val="20"/>
        </w:rPr>
        <w:t>et al.</w:t>
      </w:r>
      <w:r>
        <w:rPr>
          <w:rFonts w:eastAsia="Times New Roman" w:cs="Times New Roman" w:ascii="Times New Roman" w:hAnsi="Times New Roman"/>
          <w:color w:val="222222"/>
          <w:sz w:val="20"/>
          <w:szCs w:val="20"/>
        </w:rPr>
        <w:t xml:space="preserve"> Science </w:t>
      </w:r>
      <w:r>
        <w:rPr>
          <w:rFonts w:eastAsia="Times New Roman" w:cs="Times New Roman" w:ascii="Times New Roman" w:hAnsi="Times New Roman"/>
          <w:b/>
          <w:bCs/>
          <w:color w:val="222222"/>
          <w:sz w:val="20"/>
          <w:szCs w:val="20"/>
        </w:rPr>
        <w:t>361</w:t>
      </w:r>
      <w:r>
        <w:rPr>
          <w:rFonts w:eastAsia="Times New Roman" w:cs="Times New Roman" w:ascii="Times New Roman" w:hAnsi="Times New Roman"/>
          <w:color w:val="222222"/>
          <w:sz w:val="20"/>
          <w:szCs w:val="20"/>
        </w:rPr>
        <w:t xml:space="preserve">, 690 (2018). </w:t>
      </w:r>
    </w:p>
    <w:p>
      <w:pPr>
        <w:pStyle w:val="Normal"/>
        <w:spacing w:lineRule="auto" w:line="240" w:before="0" w:after="0"/>
        <w:rPr>
          <w:rFonts w:ascii="Times New Roman" w:hAnsi="Times New Roman" w:eastAsia="Times New Roman" w:cs="Times New Roman"/>
          <w:sz w:val="20"/>
          <w:szCs w:val="20"/>
        </w:rPr>
      </w:pPr>
      <w:hyperlink r:id="rId96">
        <w:r>
          <w:rPr>
            <w:rStyle w:val="Style3"/>
            <w:rFonts w:eastAsia="Times New Roman" w:cs="Times New Roman" w:ascii="Times New Roman" w:hAnsi="Times New Roman"/>
            <w:color w:val="1155CC"/>
            <w:sz w:val="20"/>
            <w:szCs w:val="20"/>
            <w:u w:val="single"/>
          </w:rPr>
          <w:t>[RIK01]</w:t>
        </w:r>
      </w:hyperlink>
      <w:r>
        <w:rPr>
          <w:rFonts w:eastAsia="Times New Roman" w:cs="Times New Roman" w:ascii="Times New Roman" w:hAnsi="Times New Roman"/>
          <w:sz w:val="20"/>
          <w:szCs w:val="20"/>
        </w:rPr>
        <w:t xml:space="preserve"> G. L. J. A. Rikken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Rev. Lett. </w:t>
      </w:r>
      <w:r>
        <w:rPr>
          <w:rFonts w:eastAsia="Times New Roman" w:cs="Times New Roman" w:ascii="Times New Roman" w:hAnsi="Times New Roman"/>
          <w:b/>
          <w:bCs/>
          <w:sz w:val="20"/>
          <w:szCs w:val="20"/>
        </w:rPr>
        <w:t>87</w:t>
      </w:r>
      <w:r>
        <w:rPr>
          <w:rFonts w:eastAsia="Times New Roman" w:cs="Times New Roman" w:ascii="Times New Roman" w:hAnsi="Times New Roman"/>
          <w:sz w:val="20"/>
          <w:szCs w:val="20"/>
        </w:rPr>
        <w:t>, 236602 (2001).</w:t>
      </w:r>
    </w:p>
    <w:p>
      <w:pPr>
        <w:pStyle w:val="Normal"/>
        <w:spacing w:lineRule="auto" w:line="240" w:before="0" w:after="0"/>
        <w:rPr>
          <w:rFonts w:ascii="Times New Roman" w:hAnsi="Times New Roman" w:eastAsia="Times New Roman" w:cs="Times New Roman"/>
          <w:sz w:val="20"/>
          <w:szCs w:val="20"/>
        </w:rPr>
      </w:pPr>
      <w:hyperlink r:id="rId97">
        <w:r>
          <w:rPr>
            <w:rStyle w:val="Style3"/>
            <w:rFonts w:eastAsia="Times New Roman" w:cs="Times New Roman" w:ascii="Times New Roman" w:hAnsi="Times New Roman"/>
            <w:color w:val="1155CC"/>
            <w:sz w:val="20"/>
            <w:szCs w:val="20"/>
            <w:u w:val="single"/>
          </w:rPr>
          <w:t>[SAD17]</w:t>
        </w:r>
      </w:hyperlink>
      <w:r>
        <w:rPr>
          <w:rFonts w:eastAsia="Times New Roman" w:cs="Times New Roman" w:ascii="Times New Roman" w:hAnsi="Times New Roman"/>
          <w:sz w:val="20"/>
          <w:szCs w:val="20"/>
        </w:rPr>
        <w:t xml:space="preserve"> I. A. Sadovskyy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Rev </w:t>
      </w:r>
      <w:r>
        <w:rPr>
          <w:rFonts w:eastAsia="Times New Roman" w:cs="Times New Roman" w:ascii="Times New Roman" w:hAnsi="Times New Roman"/>
          <w:b/>
          <w:bCs/>
          <w:sz w:val="20"/>
          <w:szCs w:val="20"/>
        </w:rPr>
        <w:t>B</w:t>
      </w:r>
      <w:r>
        <w:rPr>
          <w:rFonts w:eastAsia="Times New Roman" w:cs="Times New Roman" w:ascii="Times New Roman" w:hAnsi="Times New Roman"/>
          <w:sz w:val="20"/>
          <w:szCs w:val="20"/>
        </w:rPr>
        <w:t>, 075303 (2017).</w:t>
      </w:r>
    </w:p>
    <w:p>
      <w:pPr>
        <w:pStyle w:val="Normal"/>
        <w:spacing w:lineRule="auto" w:line="240" w:before="0" w:after="0"/>
        <w:rPr>
          <w:rFonts w:ascii="Times New Roman" w:hAnsi="Times New Roman" w:eastAsia="Times New Roman" w:cs="Times New Roman"/>
          <w:sz w:val="20"/>
          <w:szCs w:val="20"/>
        </w:rPr>
      </w:pPr>
      <w:hyperlink r:id="rId98">
        <w:r>
          <w:rPr>
            <w:rStyle w:val="Style3"/>
            <w:rFonts w:eastAsia="Times New Roman" w:cs="Times New Roman" w:ascii="Times New Roman" w:hAnsi="Times New Roman"/>
            <w:color w:val="1155CC"/>
            <w:sz w:val="20"/>
            <w:szCs w:val="20"/>
            <w:u w:val="single"/>
          </w:rPr>
          <w:t>[SAL24a]</w:t>
        </w:r>
      </w:hyperlink>
      <w:r>
        <w:rPr>
          <w:rFonts w:eastAsia="Times New Roman" w:cs="Times New Roman" w:ascii="Times New Roman" w:hAnsi="Times New Roman"/>
          <w:sz w:val="20"/>
          <w:szCs w:val="20"/>
        </w:rPr>
        <w:t xml:space="preserve"> J. Salvador-Sánchez </w:t>
      </w:r>
      <w:r>
        <w:rPr>
          <w:rFonts w:eastAsia="Times New Roman" w:cs="Times New Roman" w:ascii="Times New Roman" w:hAnsi="Times New Roman"/>
          <w:i/>
          <w:iCs/>
          <w:sz w:val="20"/>
          <w:szCs w:val="20"/>
        </w:rPr>
        <w:t xml:space="preserve">et al. </w:t>
      </w:r>
      <w:r>
        <w:rPr>
          <w:rFonts w:eastAsia="Times New Roman" w:cs="Times New Roman" w:ascii="Times New Roman" w:hAnsi="Times New Roman"/>
          <w:sz w:val="20"/>
          <w:szCs w:val="20"/>
        </w:rPr>
        <w:t xml:space="preserve">Phys. Rev. Res. </w:t>
      </w:r>
      <w:r>
        <w:rPr>
          <w:rFonts w:eastAsia="Times New Roman" w:cs="Times New Roman" w:ascii="Times New Roman" w:hAnsi="Times New Roman"/>
          <w:b/>
          <w:bCs/>
          <w:sz w:val="20"/>
          <w:szCs w:val="20"/>
        </w:rPr>
        <w:t>6</w:t>
      </w:r>
      <w:r>
        <w:rPr>
          <w:rFonts w:eastAsia="Times New Roman" w:cs="Times New Roman" w:ascii="Times New Roman" w:hAnsi="Times New Roman"/>
          <w:sz w:val="20"/>
          <w:szCs w:val="20"/>
        </w:rPr>
        <w:t>, 023212 (2024).</w:t>
        <w:tab/>
      </w:r>
    </w:p>
    <w:p>
      <w:pPr>
        <w:pStyle w:val="Normal"/>
        <w:spacing w:lineRule="auto" w:line="240" w:before="0" w:after="0"/>
        <w:rPr>
          <w:rFonts w:ascii="Times New Roman" w:hAnsi="Times New Roman" w:eastAsia="Times New Roman" w:cs="Times New Roman"/>
          <w:sz w:val="20"/>
          <w:szCs w:val="20"/>
        </w:rPr>
      </w:pPr>
      <w:hyperlink r:id="rId99">
        <w:r>
          <w:rPr>
            <w:rStyle w:val="Style3"/>
            <w:rFonts w:eastAsia="Times New Roman" w:cs="Times New Roman" w:ascii="Times New Roman" w:hAnsi="Times New Roman"/>
            <w:color w:val="1155CC"/>
            <w:sz w:val="20"/>
            <w:szCs w:val="20"/>
            <w:u w:val="single"/>
          </w:rPr>
          <w:t>[SAL24b]</w:t>
        </w:r>
      </w:hyperlink>
      <w:r>
        <w:rPr>
          <w:rFonts w:eastAsia="Times New Roman" w:cs="Times New Roman" w:ascii="Times New Roman" w:hAnsi="Times New Roman"/>
          <w:sz w:val="20"/>
          <w:szCs w:val="20"/>
        </w:rPr>
        <w:t xml:space="preserve"> J. Salvador-Sánchez </w:t>
      </w:r>
      <w:r>
        <w:rPr>
          <w:rFonts w:eastAsia="Times New Roman" w:cs="Times New Roman" w:ascii="Times New Roman" w:hAnsi="Times New Roman"/>
          <w:i/>
          <w:iCs/>
          <w:sz w:val="20"/>
          <w:szCs w:val="20"/>
        </w:rPr>
        <w:t xml:space="preserve">et al. </w:t>
      </w:r>
      <w:r>
        <w:rPr>
          <w:rFonts w:eastAsia="Times New Roman" w:cs="Times New Roman" w:ascii="Times New Roman" w:hAnsi="Times New Roman"/>
          <w:sz w:val="20"/>
          <w:szCs w:val="20"/>
        </w:rPr>
        <w:t xml:space="preserve">Eur. Phys. J. Plus </w:t>
      </w:r>
      <w:r>
        <w:rPr>
          <w:rFonts w:eastAsia="Times New Roman" w:cs="Times New Roman" w:ascii="Times New Roman" w:hAnsi="Times New Roman"/>
          <w:b/>
          <w:bCs/>
          <w:sz w:val="20"/>
          <w:szCs w:val="20"/>
        </w:rPr>
        <w:t>139</w:t>
      </w:r>
      <w:r>
        <w:rPr>
          <w:rFonts w:eastAsia="Times New Roman" w:cs="Times New Roman" w:ascii="Times New Roman" w:hAnsi="Times New Roman"/>
          <w:sz w:val="20"/>
          <w:szCs w:val="20"/>
        </w:rPr>
        <w:t>, 11 (2024).</w:t>
      </w:r>
    </w:p>
    <w:p>
      <w:pPr>
        <w:pStyle w:val="Normal"/>
        <w:spacing w:lineRule="auto" w:line="240" w:before="0" w:after="0"/>
        <w:rPr>
          <w:rFonts w:ascii="Times New Roman" w:hAnsi="Times New Roman" w:eastAsia="Times New Roman" w:cs="Times New Roman"/>
          <w:sz w:val="20"/>
          <w:szCs w:val="20"/>
        </w:rPr>
      </w:pPr>
      <w:hyperlink r:id="rId100">
        <w:r>
          <w:rPr>
            <w:rStyle w:val="Style3"/>
            <w:rFonts w:eastAsia="Times New Roman" w:cs="Times New Roman" w:ascii="Times New Roman" w:hAnsi="Times New Roman"/>
            <w:color w:val="1155CC"/>
            <w:sz w:val="20"/>
            <w:szCs w:val="20"/>
            <w:u w:val="single"/>
          </w:rPr>
          <w:t>[SAN20]</w:t>
        </w:r>
      </w:hyperlink>
      <w:r>
        <w:rPr>
          <w:rFonts w:eastAsia="Times New Roman" w:cs="Times New Roman" w:ascii="Times New Roman" w:hAnsi="Times New Roman"/>
          <w:sz w:val="20"/>
          <w:szCs w:val="20"/>
        </w:rPr>
        <w:t xml:space="preserve"> H. Santos </w:t>
      </w:r>
      <w:r>
        <w:rPr>
          <w:rFonts w:eastAsia="Times New Roman" w:cs="Times New Roman" w:ascii="Times New Roman" w:hAnsi="Times New Roman"/>
          <w:i/>
          <w:iCs/>
          <w:color w:val="222222"/>
          <w:sz w:val="20"/>
          <w:szCs w:val="20"/>
        </w:rPr>
        <w:t xml:space="preserve">et al. </w:t>
      </w:r>
      <w:r>
        <w:rPr>
          <w:rFonts w:eastAsia="Times New Roman" w:cs="Times New Roman" w:ascii="Times New Roman" w:hAnsi="Times New Roman"/>
          <w:color w:val="222222"/>
          <w:sz w:val="20"/>
          <w:szCs w:val="20"/>
        </w:rPr>
        <w:t xml:space="preserve">Carbon </w:t>
      </w:r>
      <w:r>
        <w:rPr>
          <w:rFonts w:eastAsia="Times New Roman" w:cs="Times New Roman" w:ascii="Times New Roman" w:hAnsi="Times New Roman"/>
          <w:b/>
          <w:bCs/>
          <w:color w:val="222222"/>
          <w:sz w:val="20"/>
          <w:szCs w:val="20"/>
        </w:rPr>
        <w:t>168</w:t>
      </w:r>
      <w:r>
        <w:rPr>
          <w:rFonts w:eastAsia="Times New Roman" w:cs="Times New Roman" w:ascii="Times New Roman" w:hAnsi="Times New Roman"/>
          <w:color w:val="222222"/>
          <w:sz w:val="20"/>
          <w:szCs w:val="20"/>
        </w:rPr>
        <w:t xml:space="preserve">, 1 (2020). </w:t>
      </w:r>
      <w:r>
        <w:rPr>
          <w:rFonts w:eastAsia="Times New Roman" w:cs="Times New Roman" w:ascii="Times New Roman" w:hAnsi="Times New Roman"/>
          <w:sz w:val="20"/>
          <w:szCs w:val="20"/>
        </w:rPr>
        <w:tab/>
      </w:r>
    </w:p>
    <w:p>
      <w:pPr>
        <w:pStyle w:val="Normal"/>
        <w:spacing w:lineRule="auto" w:line="240" w:before="0" w:after="0"/>
        <w:rPr>
          <w:rFonts w:ascii="Times New Roman" w:hAnsi="Times New Roman" w:eastAsia="Times New Roman" w:cs="Times New Roman"/>
          <w:sz w:val="20"/>
          <w:szCs w:val="20"/>
        </w:rPr>
      </w:pPr>
      <w:hyperlink r:id="rId101">
        <w:r>
          <w:rPr>
            <w:rStyle w:val="Style3"/>
            <w:rFonts w:eastAsia="Times New Roman" w:cs="Times New Roman" w:ascii="Times New Roman" w:hAnsi="Times New Roman"/>
            <w:color w:val="1155CC"/>
            <w:sz w:val="20"/>
            <w:szCs w:val="20"/>
            <w:u w:val="single"/>
          </w:rPr>
          <w:t>[SEN21]</w:t>
        </w:r>
      </w:hyperlink>
      <w:r>
        <w:rPr>
          <w:rFonts w:eastAsia="Times New Roman" w:cs="Times New Roman" w:ascii="Times New Roman" w:hAnsi="Times New Roman"/>
          <w:sz w:val="20"/>
          <w:szCs w:val="20"/>
        </w:rPr>
        <w:t xml:space="preserve"> L. Sendra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Rev. B </w:t>
      </w:r>
      <w:r>
        <w:rPr>
          <w:rFonts w:eastAsia="Times New Roman" w:cs="Times New Roman" w:ascii="Times New Roman" w:hAnsi="Times New Roman"/>
          <w:b/>
          <w:bCs/>
          <w:sz w:val="20"/>
          <w:szCs w:val="20"/>
        </w:rPr>
        <w:t>103</w:t>
      </w:r>
      <w:r>
        <w:rPr>
          <w:rFonts w:eastAsia="Times New Roman" w:cs="Times New Roman" w:ascii="Times New Roman" w:hAnsi="Times New Roman"/>
          <w:sz w:val="20"/>
          <w:szCs w:val="20"/>
        </w:rPr>
        <w:t>, L140301 (2021).</w:t>
      </w:r>
    </w:p>
    <w:p>
      <w:pPr>
        <w:pStyle w:val="Normal"/>
        <w:spacing w:lineRule="auto" w:line="240" w:before="0" w:after="0"/>
        <w:rPr>
          <w:rFonts w:ascii="Times New Roman" w:hAnsi="Times New Roman" w:eastAsia="Times New Roman" w:cs="Times New Roman"/>
          <w:sz w:val="20"/>
          <w:szCs w:val="20"/>
        </w:rPr>
      </w:pPr>
      <w:hyperlink r:id="rId102">
        <w:r>
          <w:rPr>
            <w:rStyle w:val="Style3"/>
            <w:rFonts w:eastAsia="Times New Roman" w:cs="Times New Roman" w:ascii="Times New Roman" w:hAnsi="Times New Roman"/>
            <w:color w:val="1155CC"/>
            <w:sz w:val="20"/>
            <w:szCs w:val="20"/>
            <w:u w:val="single"/>
          </w:rPr>
          <w:t>[SET15]</w:t>
        </w:r>
      </w:hyperlink>
      <w:r>
        <w:rPr>
          <w:rFonts w:eastAsia="Times New Roman" w:cs="Times New Roman" w:ascii="Times New Roman" w:hAnsi="Times New Roman"/>
          <w:sz w:val="20"/>
          <w:szCs w:val="20"/>
        </w:rPr>
        <w:t xml:space="preserve"> M. Settnes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Rev. B </w:t>
      </w:r>
      <w:r>
        <w:rPr>
          <w:rFonts w:eastAsia="Times New Roman" w:cs="Times New Roman" w:ascii="Times New Roman" w:hAnsi="Times New Roman"/>
          <w:b/>
          <w:bCs/>
          <w:sz w:val="20"/>
          <w:szCs w:val="20"/>
        </w:rPr>
        <w:t>91</w:t>
      </w:r>
      <w:r>
        <w:rPr>
          <w:rFonts w:eastAsia="Times New Roman" w:cs="Times New Roman" w:ascii="Times New Roman" w:hAnsi="Times New Roman"/>
          <w:sz w:val="20"/>
          <w:szCs w:val="20"/>
        </w:rPr>
        <w:t xml:space="preserve">, 125408 (2015). </w:t>
      </w:r>
    </w:p>
    <w:p>
      <w:pPr>
        <w:pStyle w:val="Normal"/>
        <w:spacing w:lineRule="auto" w:line="240" w:before="0" w:after="0"/>
        <w:jc w:val="both"/>
        <w:rPr>
          <w:rFonts w:ascii="Times New Roman" w:hAnsi="Times New Roman" w:eastAsia="Times New Roman" w:cs="Times New Roman"/>
          <w:sz w:val="20"/>
          <w:szCs w:val="20"/>
          <w:highlight w:val="white"/>
        </w:rPr>
      </w:pPr>
      <w:hyperlink r:id="rId103">
        <w:r>
          <w:rPr>
            <w:rStyle w:val="Style3"/>
            <w:rFonts w:eastAsia="Times New Roman" w:cs="Times New Roman" w:ascii="Times New Roman" w:hAnsi="Times New Roman"/>
            <w:color w:val="1155CC"/>
            <w:sz w:val="20"/>
            <w:szCs w:val="20"/>
            <w:u w:val="single"/>
            <w:shd w:fill="F9F9F9" w:val="clear"/>
          </w:rPr>
          <w:t>[SHA24]</w:t>
        </w:r>
      </w:hyperlink>
      <w:r>
        <w:rPr>
          <w:rFonts w:eastAsia="Times New Roman" w:cs="Times New Roman" w:ascii="Times New Roman" w:hAnsi="Times New Roman"/>
          <w:sz w:val="20"/>
          <w:szCs w:val="20"/>
          <w:shd w:fill="F9F9F9" w:val="clear"/>
        </w:rPr>
        <w:t xml:space="preserve"> Y. Shao </w:t>
      </w:r>
      <w:r>
        <w:rPr>
          <w:rFonts w:eastAsia="Times New Roman" w:cs="Times New Roman" w:ascii="Times New Roman" w:hAnsi="Times New Roman"/>
          <w:i/>
          <w:iCs/>
          <w:sz w:val="20"/>
          <w:szCs w:val="20"/>
          <w:shd w:fill="F9F9F9" w:val="clear"/>
        </w:rPr>
        <w:t>et al.</w:t>
      </w:r>
      <w:r>
        <w:rPr>
          <w:rFonts w:eastAsia="Times New Roman" w:cs="Times New Roman" w:ascii="Times New Roman" w:hAnsi="Times New Roman"/>
          <w:sz w:val="20"/>
          <w:szCs w:val="20"/>
          <w:shd w:fill="F9F9F9" w:val="clear"/>
        </w:rPr>
        <w:t xml:space="preserve"> </w:t>
      </w:r>
      <w:r>
        <w:rPr>
          <w:rFonts w:eastAsia="Times New Roman" w:cs="Times New Roman" w:ascii="Times New Roman" w:hAnsi="Times New Roman"/>
          <w:sz w:val="20"/>
          <w:szCs w:val="20"/>
          <w:highlight w:val="white"/>
        </w:rPr>
        <w:t xml:space="preserve">Phys. Rev. X </w:t>
      </w:r>
      <w:r>
        <w:rPr>
          <w:rFonts w:eastAsia="Times New Roman" w:cs="Times New Roman" w:ascii="Times New Roman" w:hAnsi="Times New Roman"/>
          <w:b/>
          <w:bCs/>
          <w:sz w:val="20"/>
          <w:szCs w:val="20"/>
          <w:highlight w:val="white"/>
        </w:rPr>
        <w:t>14</w:t>
      </w:r>
      <w:r>
        <w:rPr>
          <w:rFonts w:eastAsia="Times New Roman" w:cs="Times New Roman" w:ascii="Times New Roman" w:hAnsi="Times New Roman"/>
          <w:sz w:val="20"/>
          <w:szCs w:val="20"/>
          <w:highlight w:val="white"/>
        </w:rPr>
        <w:t>, 041057 (2024).</w:t>
      </w:r>
    </w:p>
    <w:p>
      <w:pPr>
        <w:pStyle w:val="Normal"/>
        <w:spacing w:lineRule="auto" w:line="240" w:before="0" w:after="0"/>
        <w:jc w:val="both"/>
        <w:rPr>
          <w:rFonts w:ascii="Times New Roman" w:hAnsi="Times New Roman" w:eastAsia="Times New Roman" w:cs="Times New Roman"/>
          <w:sz w:val="20"/>
          <w:szCs w:val="20"/>
        </w:rPr>
      </w:pPr>
      <w:hyperlink r:id="rId104">
        <w:r>
          <w:rPr>
            <w:rStyle w:val="Style3"/>
            <w:rFonts w:eastAsia="Times New Roman" w:cs="Times New Roman" w:ascii="Times New Roman" w:hAnsi="Times New Roman"/>
            <w:color w:val="1155CC"/>
            <w:sz w:val="20"/>
            <w:szCs w:val="20"/>
            <w:highlight w:val="white"/>
            <w:u w:val="single"/>
          </w:rPr>
          <w:t xml:space="preserve">[SOL02] </w:t>
        </w:r>
      </w:hyperlink>
      <w:r>
        <w:rPr>
          <w:rFonts w:eastAsia="Times New Roman" w:cs="Times New Roman" w:ascii="Times New Roman" w:hAnsi="Times New Roman"/>
          <w:sz w:val="20"/>
          <w:szCs w:val="20"/>
          <w:highlight w:val="white"/>
        </w:rPr>
        <w:t xml:space="preserve">J. M. Soler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J. Phys.: Condens. Matter </w:t>
      </w:r>
      <w:r>
        <w:rPr>
          <w:rFonts w:eastAsia="Times New Roman" w:cs="Times New Roman" w:ascii="Times New Roman" w:hAnsi="Times New Roman"/>
          <w:b/>
          <w:bCs/>
          <w:sz w:val="20"/>
          <w:szCs w:val="20"/>
        </w:rPr>
        <w:t>14</w:t>
      </w:r>
      <w:r>
        <w:rPr>
          <w:rFonts w:eastAsia="Times New Roman" w:cs="Times New Roman" w:ascii="Times New Roman" w:hAnsi="Times New Roman"/>
          <w:sz w:val="20"/>
          <w:szCs w:val="20"/>
        </w:rPr>
        <w:t xml:space="preserve">, 2745 (2002). </w:t>
      </w:r>
    </w:p>
    <w:p>
      <w:pPr>
        <w:pStyle w:val="Normal"/>
        <w:spacing w:lineRule="auto" w:line="240" w:before="0" w:after="0"/>
        <w:jc w:val="both"/>
        <w:rPr>
          <w:rFonts w:ascii="Times New Roman" w:hAnsi="Times New Roman" w:eastAsia="Times New Roman" w:cs="Times New Roman"/>
          <w:sz w:val="20"/>
          <w:szCs w:val="20"/>
        </w:rPr>
      </w:pPr>
      <w:hyperlink r:id="rId105">
        <w:r>
          <w:rPr>
            <w:rStyle w:val="Style3"/>
            <w:rFonts w:eastAsia="Times New Roman" w:cs="Times New Roman" w:ascii="Times New Roman" w:hAnsi="Times New Roman"/>
            <w:color w:val="1155CC"/>
            <w:sz w:val="20"/>
            <w:szCs w:val="20"/>
            <w:u w:val="single"/>
          </w:rPr>
          <w:t>[SON23]</w:t>
        </w:r>
      </w:hyperlink>
      <w:r>
        <w:rPr>
          <w:rFonts w:eastAsia="Times New Roman" w:cs="Times New Roman" w:ascii="Times New Roman" w:hAnsi="Times New Roman"/>
          <w:sz w:val="20"/>
          <w:szCs w:val="20"/>
        </w:rPr>
        <w:t xml:space="preserve"> S. Y. Song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w:t>
      </w:r>
      <w:r>
        <w:rPr>
          <w:rFonts w:eastAsia="Times New Roman" w:cs="Times New Roman" w:ascii="Times New Roman" w:hAnsi="Times New Roman"/>
          <w:i/>
          <w:iCs/>
          <w:sz w:val="20"/>
          <w:szCs w:val="20"/>
        </w:rPr>
        <w:t xml:space="preserve"> </w:t>
      </w:r>
      <w:r>
        <w:rPr>
          <w:rFonts w:eastAsia="Times New Roman" w:cs="Times New Roman" w:ascii="Times New Roman" w:hAnsi="Times New Roman"/>
          <w:sz w:val="20"/>
          <w:szCs w:val="20"/>
        </w:rPr>
        <w:t xml:space="preserve">Nano Lett. </w:t>
      </w:r>
      <w:r>
        <w:rPr>
          <w:rFonts w:eastAsia="Times New Roman" w:cs="Times New Roman" w:ascii="Times New Roman" w:hAnsi="Times New Roman"/>
          <w:b/>
          <w:bCs/>
          <w:sz w:val="20"/>
          <w:szCs w:val="20"/>
        </w:rPr>
        <w:t>23,</w:t>
      </w:r>
      <w:r>
        <w:rPr>
          <w:rFonts w:eastAsia="Times New Roman" w:cs="Times New Roman" w:ascii="Times New Roman" w:hAnsi="Times New Roman"/>
          <w:sz w:val="20"/>
          <w:szCs w:val="20"/>
        </w:rPr>
        <w:t xml:space="preserve"> 3971 (2023).</w:t>
      </w:r>
    </w:p>
    <w:p>
      <w:pPr>
        <w:pStyle w:val="Normal"/>
        <w:spacing w:lineRule="auto" w:line="240" w:before="0" w:after="0"/>
        <w:jc w:val="both"/>
        <w:rPr>
          <w:rFonts w:ascii="Times New Roman" w:hAnsi="Times New Roman" w:eastAsia="Times New Roman" w:cs="Times New Roman"/>
          <w:sz w:val="20"/>
          <w:szCs w:val="20"/>
        </w:rPr>
      </w:pPr>
      <w:hyperlink r:id="rId106">
        <w:r>
          <w:rPr>
            <w:rStyle w:val="Style3"/>
            <w:rFonts w:eastAsia="Times New Roman" w:cs="Times New Roman" w:ascii="Times New Roman" w:hAnsi="Times New Roman"/>
            <w:color w:val="1155CC"/>
            <w:sz w:val="20"/>
            <w:szCs w:val="20"/>
            <w:u w:val="single"/>
          </w:rPr>
          <w:t>[SUN11]</w:t>
        </w:r>
      </w:hyperlink>
      <w:r>
        <w:rPr>
          <w:rFonts w:eastAsia="Times New Roman" w:cs="Times New Roman" w:ascii="Times New Roman" w:hAnsi="Times New Roman"/>
          <w:sz w:val="20"/>
          <w:szCs w:val="20"/>
        </w:rPr>
        <w:t xml:space="preserve"> Z. Sun </w:t>
      </w:r>
      <w:r>
        <w:rPr>
          <w:rFonts w:eastAsia="Times New Roman" w:cs="Times New Roman" w:ascii="Times New Roman" w:hAnsi="Times New Roman"/>
          <w:i/>
          <w:iCs/>
          <w:sz w:val="20"/>
          <w:szCs w:val="20"/>
        </w:rPr>
        <w:t xml:space="preserve">et al. </w:t>
      </w:r>
      <w:r>
        <w:rPr>
          <w:rFonts w:eastAsia="Times New Roman" w:cs="Times New Roman" w:ascii="Times New Roman" w:hAnsi="Times New Roman"/>
          <w:sz w:val="20"/>
          <w:szCs w:val="20"/>
        </w:rPr>
        <w:t xml:space="preserve">Nat. Commun. </w:t>
      </w:r>
      <w:r>
        <w:rPr>
          <w:rFonts w:eastAsia="Times New Roman" w:cs="Times New Roman" w:ascii="Times New Roman" w:hAnsi="Times New Roman"/>
          <w:b/>
          <w:bCs/>
          <w:sz w:val="20"/>
          <w:szCs w:val="20"/>
        </w:rPr>
        <w:t>2</w:t>
      </w:r>
      <w:r>
        <w:rPr>
          <w:rFonts w:eastAsia="Times New Roman" w:cs="Times New Roman" w:ascii="Times New Roman" w:hAnsi="Times New Roman"/>
          <w:sz w:val="20"/>
          <w:szCs w:val="20"/>
        </w:rPr>
        <w:t>, 559 (2011).</w:t>
      </w:r>
    </w:p>
    <w:p>
      <w:pPr>
        <w:pStyle w:val="Normal"/>
        <w:spacing w:lineRule="auto" w:line="240" w:before="0" w:after="0"/>
        <w:jc w:val="both"/>
        <w:rPr>
          <w:rFonts w:ascii="Times New Roman" w:hAnsi="Times New Roman" w:eastAsia="Times New Roman" w:cs="Times New Roman"/>
          <w:sz w:val="20"/>
          <w:szCs w:val="20"/>
        </w:rPr>
      </w:pPr>
      <w:hyperlink r:id="rId107">
        <w:r>
          <w:rPr>
            <w:rStyle w:val="Style3"/>
            <w:rFonts w:eastAsia="Times New Roman" w:cs="Times New Roman" w:ascii="Times New Roman" w:hAnsi="Times New Roman"/>
            <w:color w:val="1155CC"/>
            <w:sz w:val="20"/>
            <w:szCs w:val="20"/>
            <w:u w:val="single"/>
          </w:rPr>
          <w:t>[TAN21]</w:t>
        </w:r>
      </w:hyperlink>
      <w:r>
        <w:rPr>
          <w:rFonts w:eastAsia="Times New Roman" w:cs="Times New Roman" w:ascii="Times New Roman" w:hAnsi="Times New Roman"/>
          <w:sz w:val="20"/>
          <w:szCs w:val="20"/>
        </w:rPr>
        <w:t xml:space="preserve"> W. L. Tan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Nat. Phys. </w:t>
      </w:r>
      <w:r>
        <w:rPr>
          <w:rFonts w:eastAsia="Times New Roman" w:cs="Times New Roman" w:ascii="Times New Roman" w:hAnsi="Times New Roman"/>
          <w:b/>
          <w:bCs/>
          <w:sz w:val="20"/>
          <w:szCs w:val="20"/>
        </w:rPr>
        <w:t>17</w:t>
      </w:r>
      <w:r>
        <w:rPr>
          <w:rFonts w:eastAsia="Times New Roman" w:cs="Times New Roman" w:ascii="Times New Roman" w:hAnsi="Times New Roman"/>
          <w:sz w:val="20"/>
          <w:szCs w:val="20"/>
        </w:rPr>
        <w:t>, 742 (2021).</w:t>
      </w:r>
    </w:p>
    <w:p>
      <w:pPr>
        <w:pStyle w:val="Normal"/>
        <w:spacing w:lineRule="auto" w:line="240" w:before="0" w:after="0"/>
        <w:rPr>
          <w:rFonts w:ascii="Times New Roman" w:hAnsi="Times New Roman" w:eastAsia="Times New Roman" w:cs="Times New Roman"/>
          <w:sz w:val="20"/>
          <w:szCs w:val="20"/>
        </w:rPr>
      </w:pPr>
      <w:hyperlink r:id="rId108">
        <w:r>
          <w:rPr>
            <w:rStyle w:val="Style3"/>
            <w:rFonts w:eastAsia="Times New Roman" w:cs="Times New Roman" w:ascii="Times New Roman" w:hAnsi="Times New Roman"/>
            <w:color w:val="1155CC"/>
            <w:sz w:val="20"/>
            <w:szCs w:val="20"/>
            <w:u w:val="single"/>
          </w:rPr>
          <w:t>[WAL13]</w:t>
        </w:r>
      </w:hyperlink>
      <w:r>
        <w:rPr>
          <w:rFonts w:eastAsia="Times New Roman" w:cs="Times New Roman" w:ascii="Times New Roman" w:hAnsi="Times New Roman"/>
          <w:sz w:val="20"/>
          <w:szCs w:val="20"/>
        </w:rPr>
        <w:t xml:space="preserve"> J. R. Wallbank </w:t>
      </w:r>
      <w:r>
        <w:rPr>
          <w:rFonts w:eastAsia="Times New Roman" w:cs="Times New Roman" w:ascii="Times New Roman" w:hAnsi="Times New Roman"/>
          <w:i/>
          <w:iCs/>
          <w:sz w:val="20"/>
          <w:szCs w:val="20"/>
        </w:rPr>
        <w:t xml:space="preserve">et al. </w:t>
      </w:r>
      <w:r>
        <w:rPr>
          <w:rFonts w:eastAsia="Times New Roman" w:cs="Times New Roman" w:ascii="Times New Roman" w:hAnsi="Times New Roman"/>
          <w:sz w:val="20"/>
          <w:szCs w:val="20"/>
        </w:rPr>
        <w:t xml:space="preserve">Phys. Rev. B </w:t>
      </w:r>
      <w:r>
        <w:rPr>
          <w:rFonts w:eastAsia="Times New Roman" w:cs="Times New Roman" w:ascii="Times New Roman" w:hAnsi="Times New Roman"/>
          <w:b/>
          <w:bCs/>
          <w:sz w:val="20"/>
          <w:szCs w:val="20"/>
        </w:rPr>
        <w:t>87</w:t>
      </w:r>
      <w:r>
        <w:rPr>
          <w:rFonts w:eastAsia="Times New Roman" w:cs="Times New Roman" w:ascii="Times New Roman" w:hAnsi="Times New Roman"/>
          <w:sz w:val="20"/>
          <w:szCs w:val="20"/>
        </w:rPr>
        <w:t>, 245408 (2013).</w:t>
      </w:r>
    </w:p>
    <w:p>
      <w:pPr>
        <w:pStyle w:val="Normal"/>
        <w:spacing w:lineRule="auto" w:line="240" w:before="0" w:after="0"/>
        <w:rPr>
          <w:rFonts w:ascii="Times New Roman" w:hAnsi="Times New Roman" w:eastAsia="Times New Roman" w:cs="Times New Roman"/>
          <w:sz w:val="20"/>
          <w:szCs w:val="20"/>
        </w:rPr>
      </w:pPr>
      <w:hyperlink r:id="rId109">
        <w:r>
          <w:rPr>
            <w:rStyle w:val="Style3"/>
            <w:rFonts w:eastAsia="Times New Roman" w:cs="Times New Roman" w:ascii="Times New Roman" w:hAnsi="Times New Roman"/>
            <w:color w:val="1155CC"/>
            <w:sz w:val="20"/>
            <w:szCs w:val="20"/>
            <w:u w:val="single"/>
          </w:rPr>
          <w:t>[WAN23]</w:t>
        </w:r>
      </w:hyperlink>
      <w:r>
        <w:rPr>
          <w:rFonts w:eastAsia="Times New Roman" w:cs="Times New Roman" w:ascii="Times New Roman" w:hAnsi="Times New Roman"/>
          <w:sz w:val="20"/>
          <w:szCs w:val="20"/>
        </w:rPr>
        <w:t xml:space="preserve"> D. Q. Wang </w:t>
      </w:r>
      <w:r>
        <w:rPr>
          <w:rFonts w:eastAsia="Times New Roman" w:cs="Times New Roman" w:ascii="Times New Roman" w:hAnsi="Times New Roman"/>
          <w:i/>
          <w:iCs/>
          <w:sz w:val="20"/>
          <w:szCs w:val="20"/>
        </w:rPr>
        <w:t xml:space="preserve">et al. </w:t>
      </w:r>
      <w:r>
        <w:rPr>
          <w:rFonts w:eastAsia="Times New Roman" w:cs="Times New Roman" w:ascii="Times New Roman" w:hAnsi="Times New Roman"/>
          <w:sz w:val="20"/>
          <w:szCs w:val="20"/>
        </w:rPr>
        <w:t xml:space="preserve">Nano Lett. </w:t>
      </w:r>
      <w:r>
        <w:rPr>
          <w:rFonts w:eastAsia="Times New Roman" w:cs="Times New Roman" w:ascii="Times New Roman" w:hAnsi="Times New Roman"/>
          <w:b/>
          <w:bCs/>
          <w:sz w:val="20"/>
          <w:szCs w:val="20"/>
        </w:rPr>
        <w:t>23</w:t>
      </w:r>
      <w:r>
        <w:rPr>
          <w:rFonts w:eastAsia="Times New Roman" w:cs="Times New Roman" w:ascii="Times New Roman" w:hAnsi="Times New Roman"/>
          <w:sz w:val="20"/>
          <w:szCs w:val="20"/>
        </w:rPr>
        <w:t>, 1705 (2023).</w:t>
      </w:r>
    </w:p>
    <w:p>
      <w:pPr>
        <w:pStyle w:val="Normal"/>
        <w:spacing w:lineRule="auto" w:line="240" w:before="0" w:after="0"/>
        <w:rPr>
          <w:rFonts w:ascii="Times New Roman" w:hAnsi="Times New Roman" w:eastAsia="Times New Roman" w:cs="Times New Roman"/>
          <w:sz w:val="20"/>
          <w:szCs w:val="20"/>
        </w:rPr>
      </w:pPr>
      <w:hyperlink r:id="rId110">
        <w:r>
          <w:rPr>
            <w:rStyle w:val="Style3"/>
            <w:rFonts w:eastAsia="Times New Roman" w:cs="Times New Roman" w:ascii="Times New Roman" w:hAnsi="Times New Roman"/>
            <w:color w:val="1155CC"/>
            <w:sz w:val="20"/>
            <w:szCs w:val="20"/>
            <w:u w:val="single"/>
          </w:rPr>
          <w:t>[WAN25]</w:t>
        </w:r>
      </w:hyperlink>
      <w:r>
        <w:rPr>
          <w:rFonts w:eastAsia="Times New Roman" w:cs="Times New Roman" w:ascii="Times New Roman" w:hAnsi="Times New Roman"/>
          <w:sz w:val="20"/>
          <w:szCs w:val="20"/>
        </w:rPr>
        <w:t xml:space="preserve"> X. Wang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Nat. Commun. </w:t>
      </w:r>
      <w:r>
        <w:rPr>
          <w:rFonts w:eastAsia="Times New Roman" w:cs="Times New Roman" w:ascii="Times New Roman" w:hAnsi="Times New Roman"/>
          <w:b/>
          <w:bCs/>
          <w:sz w:val="20"/>
          <w:szCs w:val="20"/>
        </w:rPr>
        <w:t>16</w:t>
      </w:r>
      <w:r>
        <w:rPr>
          <w:rFonts w:eastAsia="Times New Roman" w:cs="Times New Roman" w:ascii="Times New Roman" w:hAnsi="Times New Roman"/>
          <w:sz w:val="20"/>
          <w:szCs w:val="20"/>
        </w:rPr>
        <w:t>, 178 (2025).</w:t>
      </w:r>
    </w:p>
    <w:p>
      <w:pPr>
        <w:pStyle w:val="Normal"/>
        <w:spacing w:lineRule="auto" w:line="240" w:before="0" w:after="0"/>
        <w:rPr>
          <w:rFonts w:ascii="Times New Roman" w:hAnsi="Times New Roman" w:eastAsia="Times New Roman" w:cs="Times New Roman"/>
          <w:sz w:val="20"/>
          <w:szCs w:val="20"/>
        </w:rPr>
      </w:pPr>
      <w:hyperlink r:id="rId111">
        <w:r>
          <w:rPr>
            <w:rStyle w:val="Style3"/>
            <w:rFonts w:eastAsia="Times New Roman" w:cs="Times New Roman" w:ascii="Times New Roman" w:hAnsi="Times New Roman"/>
            <w:color w:val="1155CC"/>
            <w:sz w:val="20"/>
            <w:szCs w:val="20"/>
            <w:u w:val="single"/>
          </w:rPr>
          <w:t>[YAG15]</w:t>
        </w:r>
      </w:hyperlink>
      <w:r>
        <w:rPr>
          <w:rFonts w:eastAsia="Times New Roman" w:cs="Times New Roman" w:ascii="Times New Roman" w:hAnsi="Times New Roman"/>
          <w:sz w:val="20"/>
          <w:szCs w:val="20"/>
        </w:rPr>
        <w:t xml:space="preserve"> R. Yagi </w:t>
      </w:r>
      <w:r>
        <w:rPr>
          <w:rFonts w:eastAsia="Times New Roman" w:cs="Times New Roman" w:ascii="Times New Roman" w:hAnsi="Times New Roman"/>
          <w:i/>
          <w:iCs/>
          <w:sz w:val="20"/>
          <w:szCs w:val="20"/>
        </w:rPr>
        <w:t xml:space="preserve">et al. </w:t>
      </w:r>
      <w:r>
        <w:rPr>
          <w:rFonts w:eastAsia="Times New Roman" w:cs="Times New Roman" w:ascii="Times New Roman" w:hAnsi="Times New Roman"/>
          <w:sz w:val="20"/>
          <w:szCs w:val="20"/>
        </w:rPr>
        <w:t xml:space="preserve">Phys. Rev. B </w:t>
      </w:r>
      <w:r>
        <w:rPr>
          <w:rFonts w:eastAsia="Times New Roman" w:cs="Times New Roman" w:ascii="Times New Roman" w:hAnsi="Times New Roman"/>
          <w:b/>
          <w:bCs/>
          <w:sz w:val="20"/>
          <w:szCs w:val="20"/>
        </w:rPr>
        <w:t>92</w:t>
      </w:r>
      <w:r>
        <w:rPr>
          <w:rFonts w:eastAsia="Times New Roman" w:cs="Times New Roman" w:ascii="Times New Roman" w:hAnsi="Times New Roman"/>
          <w:sz w:val="20"/>
          <w:szCs w:val="20"/>
        </w:rPr>
        <w:t>,195406 (2015).</w:t>
        <w:tab/>
        <w:t xml:space="preserve"> </w:t>
      </w:r>
    </w:p>
    <w:p>
      <w:pPr>
        <w:pStyle w:val="Normal"/>
        <w:spacing w:lineRule="auto" w:line="240" w:before="0" w:after="0"/>
        <w:rPr>
          <w:rFonts w:ascii="Times New Roman" w:hAnsi="Times New Roman" w:eastAsia="Times New Roman" w:cs="Times New Roman"/>
          <w:sz w:val="20"/>
          <w:szCs w:val="20"/>
        </w:rPr>
      </w:pPr>
      <w:hyperlink r:id="rId112">
        <w:r>
          <w:rPr>
            <w:rStyle w:val="Style3"/>
            <w:rFonts w:eastAsia="Times New Roman" w:cs="Times New Roman" w:ascii="Times New Roman" w:hAnsi="Times New Roman"/>
            <w:color w:val="1155CC"/>
            <w:sz w:val="20"/>
            <w:szCs w:val="20"/>
            <w:u w:val="single"/>
          </w:rPr>
          <w:t>[YAN12]</w:t>
        </w:r>
      </w:hyperlink>
      <w:r>
        <w:rPr>
          <w:rFonts w:eastAsia="Times New Roman" w:cs="Times New Roman" w:ascii="Times New Roman" w:hAnsi="Times New Roman"/>
          <w:sz w:val="20"/>
          <w:szCs w:val="20"/>
        </w:rPr>
        <w:t xml:space="preserve"> M. Yankowitz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Nat. Phys. </w:t>
      </w:r>
      <w:r>
        <w:rPr>
          <w:rFonts w:eastAsia="Times New Roman" w:cs="Times New Roman" w:ascii="Times New Roman" w:hAnsi="Times New Roman"/>
          <w:b/>
          <w:bCs/>
          <w:sz w:val="20"/>
          <w:szCs w:val="20"/>
        </w:rPr>
        <w:t>8</w:t>
      </w:r>
      <w:r>
        <w:rPr>
          <w:rFonts w:eastAsia="Times New Roman" w:cs="Times New Roman" w:ascii="Times New Roman" w:hAnsi="Times New Roman"/>
          <w:sz w:val="20"/>
          <w:szCs w:val="20"/>
        </w:rPr>
        <w:t>, 382 (2012).</w:t>
      </w:r>
    </w:p>
    <w:p>
      <w:pPr>
        <w:pStyle w:val="Normal"/>
        <w:spacing w:lineRule="auto" w:line="240" w:before="0" w:after="0"/>
        <w:rPr>
          <w:rFonts w:ascii="Times New Roman" w:hAnsi="Times New Roman" w:eastAsia="Times New Roman" w:cs="Times New Roman"/>
          <w:sz w:val="20"/>
          <w:szCs w:val="20"/>
        </w:rPr>
      </w:pPr>
      <w:hyperlink r:id="rId113">
        <w:r>
          <w:rPr>
            <w:rStyle w:val="Style3"/>
            <w:rFonts w:eastAsia="Times New Roman" w:cs="Times New Roman" w:ascii="Times New Roman" w:hAnsi="Times New Roman"/>
            <w:color w:val="1155CC"/>
            <w:sz w:val="20"/>
            <w:szCs w:val="20"/>
            <w:u w:val="single"/>
          </w:rPr>
          <w:t>[YAO17]</w:t>
        </w:r>
      </w:hyperlink>
      <w:r>
        <w:rPr>
          <w:rFonts w:eastAsia="Times New Roman" w:cs="Times New Roman" w:ascii="Times New Roman" w:hAnsi="Times New Roman"/>
          <w:sz w:val="20"/>
          <w:szCs w:val="20"/>
        </w:rPr>
        <w:t xml:space="preserve"> N. Y. Yao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Phys. Rev. Lett. </w:t>
      </w:r>
      <w:r>
        <w:rPr>
          <w:rFonts w:eastAsia="Times New Roman" w:cs="Times New Roman" w:ascii="Times New Roman" w:hAnsi="Times New Roman"/>
          <w:b/>
          <w:bCs/>
          <w:sz w:val="20"/>
          <w:szCs w:val="20"/>
        </w:rPr>
        <w:t>118</w:t>
      </w:r>
      <w:r>
        <w:rPr>
          <w:rFonts w:eastAsia="Times New Roman" w:cs="Times New Roman" w:ascii="Times New Roman" w:hAnsi="Times New Roman"/>
          <w:sz w:val="20"/>
          <w:szCs w:val="20"/>
        </w:rPr>
        <w:t>, 030401 (2017).</w:t>
      </w:r>
    </w:p>
    <w:p>
      <w:pPr>
        <w:pStyle w:val="Normal"/>
        <w:spacing w:lineRule="auto" w:line="240" w:before="0" w:after="0"/>
        <w:rPr>
          <w:rFonts w:ascii="Times New Roman" w:hAnsi="Times New Roman" w:eastAsia="Times New Roman" w:cs="Times New Roman"/>
          <w:sz w:val="20"/>
          <w:szCs w:val="20"/>
        </w:rPr>
      </w:pPr>
      <w:hyperlink r:id="rId114">
        <w:r>
          <w:rPr>
            <w:rStyle w:val="Style3"/>
            <w:rFonts w:eastAsia="Times New Roman" w:cs="Times New Roman" w:ascii="Times New Roman" w:hAnsi="Times New Roman"/>
            <w:color w:val="1155CC"/>
            <w:sz w:val="20"/>
            <w:szCs w:val="20"/>
            <w:u w:val="single"/>
          </w:rPr>
          <w:t>[YOS25]</w:t>
        </w:r>
      </w:hyperlink>
      <w:r>
        <w:rPr>
          <w:rFonts w:eastAsia="Times New Roman" w:cs="Times New Roman" w:ascii="Times New Roman" w:hAnsi="Times New Roman"/>
          <w:sz w:val="20"/>
          <w:szCs w:val="20"/>
        </w:rPr>
        <w:t xml:space="preserve"> S. Yoshida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w:t>
      </w:r>
      <w:r>
        <w:rPr>
          <w:rFonts w:eastAsia="Times New Roman" w:cs="Times New Roman" w:ascii="Times New Roman" w:hAnsi="Times New Roman"/>
          <w:sz w:val="21"/>
          <w:szCs w:val="21"/>
          <w:highlight w:val="white"/>
        </w:rPr>
        <w:t xml:space="preserve">Phys. Rev. B </w:t>
      </w:r>
      <w:r>
        <w:rPr>
          <w:rFonts w:eastAsia="Times New Roman" w:cs="Times New Roman" w:ascii="Times New Roman" w:hAnsi="Times New Roman"/>
          <w:b/>
          <w:bCs/>
          <w:sz w:val="21"/>
          <w:szCs w:val="21"/>
          <w:highlight w:val="white"/>
        </w:rPr>
        <w:t>111</w:t>
      </w:r>
      <w:r>
        <w:rPr>
          <w:rFonts w:eastAsia="Times New Roman" w:cs="Times New Roman" w:ascii="Times New Roman" w:hAnsi="Times New Roman"/>
          <w:sz w:val="21"/>
          <w:szCs w:val="21"/>
          <w:highlight w:val="white"/>
        </w:rPr>
        <w:t>, 014511 (2025).</w:t>
      </w:r>
    </w:p>
    <w:p>
      <w:pPr>
        <w:pStyle w:val="Normal"/>
        <w:spacing w:lineRule="auto" w:line="240" w:before="0" w:after="0"/>
        <w:rPr>
          <w:rFonts w:ascii="Times New Roman" w:hAnsi="Times New Roman" w:eastAsia="Times New Roman" w:cs="Times New Roman"/>
          <w:sz w:val="20"/>
          <w:szCs w:val="20"/>
        </w:rPr>
      </w:pPr>
      <w:hyperlink r:id="rId115">
        <w:r>
          <w:rPr>
            <w:rStyle w:val="Style3"/>
            <w:rFonts w:eastAsia="Times New Roman" w:cs="Times New Roman" w:ascii="Times New Roman" w:hAnsi="Times New Roman"/>
            <w:color w:val="1155CC"/>
            <w:sz w:val="20"/>
            <w:szCs w:val="20"/>
            <w:u w:val="single"/>
          </w:rPr>
          <w:t>[ZHA18]</w:t>
        </w:r>
      </w:hyperlink>
      <w:r>
        <w:rPr>
          <w:rFonts w:eastAsia="Times New Roman" w:cs="Times New Roman" w:ascii="Times New Roman" w:hAnsi="Times New Roman"/>
          <w:sz w:val="20"/>
          <w:szCs w:val="20"/>
        </w:rPr>
        <w:t xml:space="preserve"> Y. Zhang </w:t>
      </w:r>
      <w:r>
        <w:rPr>
          <w:rFonts w:eastAsia="Times New Roman" w:cs="Times New Roman" w:ascii="Times New Roman" w:hAnsi="Times New Roman"/>
          <w:i/>
          <w:iCs/>
          <w:sz w:val="20"/>
          <w:szCs w:val="20"/>
        </w:rPr>
        <w:t>et al.</w:t>
      </w:r>
      <w:r>
        <w:rPr>
          <w:rFonts w:eastAsia="Times New Roman" w:cs="Times New Roman" w:ascii="Times New Roman" w:hAnsi="Times New Roman"/>
          <w:sz w:val="20"/>
          <w:szCs w:val="20"/>
        </w:rPr>
        <w:t xml:space="preserve"> npj 2D Mater. Appl. </w:t>
      </w:r>
      <w:r>
        <w:rPr>
          <w:rFonts w:eastAsia="Times New Roman" w:cs="Times New Roman" w:ascii="Times New Roman" w:hAnsi="Times New Roman"/>
          <w:b/>
          <w:bCs/>
          <w:sz w:val="20"/>
          <w:szCs w:val="20"/>
        </w:rPr>
        <w:t>2</w:t>
      </w:r>
      <w:r>
        <w:rPr>
          <w:rFonts w:eastAsia="Times New Roman" w:cs="Times New Roman" w:ascii="Times New Roman" w:hAnsi="Times New Roman"/>
          <w:sz w:val="20"/>
          <w:szCs w:val="20"/>
        </w:rPr>
        <w:t>, 31 (2018).</w:t>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0" w:after="0"/>
        <w:jc w:val="both"/>
        <w:rPr>
          <w:rFonts w:ascii="Times New Roman" w:hAnsi="Times New Roman" w:eastAsia="Times New Roman" w:cs="Times New Roman"/>
        </w:rPr>
      </w:pPr>
      <w:r>
        <w:rPr>
          <w:rFonts w:eastAsia="Times New Roman" w:cs="Times New Roman" w:ascii="Times New Roman" w:hAnsi="Times New Roman"/>
        </w:rPr>
      </w:r>
    </w:p>
    <w:sectPr>
      <w:headerReference w:type="even" r:id="rId116"/>
      <w:headerReference w:type="default" r:id="rId117"/>
      <w:headerReference w:type="first" r:id="rId118"/>
      <w:footerReference w:type="even" r:id="rId119"/>
      <w:footerReference w:type="default" r:id="rId120"/>
      <w:footerReference w:type="first" r:id="rId121"/>
      <w:footnotePr>
        <w:numFmt w:val="decimal"/>
      </w:footnotePr>
      <w:type w:val="nextPage"/>
      <w:pgSz w:w="11906" w:h="16838"/>
      <w:pgMar w:left="1418" w:right="1418" w:gutter="0" w:header="113" w:top="851" w:footer="170" w:bottom="851"/>
      <w:pgNumType w:start="1" w:fmt="decimal"/>
      <w:formProt w:val="false"/>
      <w:titlePg/>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Calibri">
    <w:charset w:val="01"/>
    <w:family w:val="swiss"/>
    <w:pitch w:val="default"/>
    <w:embedRegular r:id="rId5" w:fontKey="{05014A78-CABC-4EF0-12AC-5CD89AEFDE05}"/>
    <w:embedBold r:id="rId6" w:fontKey="{06014A78-CABC-4EF0-12AC-5CD89AEFDE06}"/>
    <w:embedItalic r:id="rId7" w:fontKey="{07014A78-CABC-4EF0-12AC-5CD89AEFDE07}"/>
  </w:font>
  <w:font w:name="Cambria">
    <w:charset w:val="01"/>
    <w:family w:val="roman"/>
    <w:pitch w:val="default"/>
    <w:embedRegular r:id="rId8" w:fontKey="{08014A78-CABC-4EF0-12AC-5CD89AEFDE08}"/>
    <w:embedBold r:id="rId9" w:fontKey="{09014A78-CABC-4EF0-12AC-5CD89AEFDE09}"/>
  </w:font>
  <w:font w:name="Tahoma">
    <w:charset w:val="01"/>
    <w:family w:val="swiss"/>
    <w:pitch w:val="default"/>
    <w:embedRegular r:id="rId10" w:fontKey="{0A014A78-CABC-4EF0-12AC-5CD89AEFDE0A}"/>
    <w:embedBold r:id="rId11" w:fontKey="{0B014A78-CABC-4EF0-12AC-5CD89AEFDE0B}"/>
  </w:font>
  <w:font w:name="Cambria">
    <w:charset w:val="01"/>
    <w:family w:val="swiss"/>
    <w:pitch w:val="default"/>
    <w:embedRegular r:id="rId12" w:fontKey="{0C014A78-CABC-4EF0-12AC-5CD89AEFDE0C}"/>
  </w:font>
  <w:font w:name="Liberation Sans">
    <w:altName w:val="Arial"/>
    <w:charset w:val="01"/>
    <w:family w:val="swiss"/>
    <w:pitch w:val="variable"/>
    <w:embedRegular r:id="rId13" w:fontKey="{0D014A78-CABC-4EF0-12AC-5CD89AEFDE0D}"/>
    <w:embedBold r:id="rId14" w:fontKey="{0E014A78-CABC-4EF0-12AC-5CD89AEFDE0E}"/>
    <w:embedItalic r:id="rId15" w:fontKey="{0F014A78-CABC-4EF0-12AC-5CD89AEFDE0F}"/>
    <w:embedBoldItalic r:id="rId16" w:fontKey="{10014A78-CABC-4EF0-12AC-5CD89AEFDE10}"/>
  </w:font>
  <w:font w:name="DejaVu Serif">
    <w:charset w:val="01"/>
    <w:family w:val="roman"/>
    <w:pitch w:val="default"/>
    <w:embedRegular r:id="rId17" w:fontKey="{11014A78-CABC-4EF0-12AC-5CD89AEFDE11}"/>
    <w:embedBold r:id="rId18" w:fontKey="{12014A78-CABC-4EF0-12AC-5CD89AEFDE12}"/>
    <w:embedItalic r:id="rId19" w:fontKey="{13014A78-CABC-4EF0-12AC-5CD89AEFDE13}"/>
    <w:embedBoldItalic r:id="rId20" w:fontKey="{14014A78-CABC-4EF0-12AC-5CD89AEFDE14}"/>
  </w:font>
  <w:font w:name="Georgia">
    <w:charset w:val="01"/>
    <w:family w:val="swiss"/>
    <w:pitch w:val="default"/>
    <w:embedRegular r:id="rId21" w:fontKey="{15014A78-CABC-4EF0-12AC-5CD89AEFDE15}"/>
    <w:embedItalic r:id="rId22" w:fontKey="{16014A78-CABC-4EF0-12AC-5CD89AEFDE16}"/>
  </w:font>
  <w:font w:name="Arial">
    <w:charset w:val="01"/>
    <w:family w:val="swiss"/>
    <w:pitch w:val="default"/>
  </w:font>
  <w:font w:name="Times New Roman">
    <w:charset w:val="01"/>
    <w:family w:val="roman"/>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spacing w:before="0" w:after="200"/>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widowControl w:val="false"/>
      <w:pBdr/>
      <w:spacing w:before="0" w:after="0"/>
      <w:rPr>
        <w:color w:val="000000"/>
      </w:rPr>
    </w:pPr>
    <w:r>
      <w:rPr>
        <w:color w:val="000000"/>
      </w:rPr>
    </w:r>
  </w:p>
  <w:tbl>
    <w:tblPr>
      <w:tblStyle w:val="ab"/>
      <w:tblW w:w="9070" w:type="dxa"/>
      <w:jc w:val="left"/>
      <w:tblInd w:w="0" w:type="dxa"/>
      <w:tblLayout w:type="fixed"/>
      <w:tblCellMar>
        <w:top w:w="57" w:type="dxa"/>
        <w:left w:w="108" w:type="dxa"/>
        <w:bottom w:w="57" w:type="dxa"/>
        <w:right w:w="108" w:type="dxa"/>
      </w:tblCellMar>
      <w:tblLook w:val="0400" w:noHBand="0" w:noVBand="1" w:firstColumn="0" w:lastRow="0" w:lastColumn="0" w:firstRow="0"/>
    </w:tblPr>
    <w:tblGrid>
      <w:gridCol w:w="5081"/>
      <w:gridCol w:w="2776"/>
      <w:gridCol w:w="1213"/>
    </w:tblGrid>
    <w:tr>
      <w:trPr/>
      <w:tc>
        <w:tcPr>
          <w:tcW w:w="5081" w:type="dxa"/>
          <w:tcBorders>
            <w:top w:val="single" w:sz="4" w:space="0" w:color="A6A6A6"/>
          </w:tcBorders>
          <w:vAlign w:val="center"/>
        </w:tcPr>
        <w:p>
          <w:pPr>
            <w:pStyle w:val="Normal"/>
            <w:pBdr/>
            <w:tabs>
              <w:tab w:val="clear" w:pos="720"/>
              <w:tab w:val="center" w:pos="4252" w:leader="none"/>
              <w:tab w:val="right" w:pos="8504" w:leader="none"/>
            </w:tabs>
            <w:spacing w:lineRule="auto" w:line="240" w:before="0" w:after="0"/>
            <w:jc w:val="left"/>
            <w:rPr>
              <w:rFonts w:ascii="Calibri" w:hAnsi="Calibri" w:eastAsia="Calibri" w:cs="Calibri"/>
              <w:color w:val="808080"/>
              <w:sz w:val="18"/>
              <w:szCs w:val="18"/>
            </w:rPr>
          </w:pPr>
          <w:r>
            <w:rPr>
              <w:rFonts w:eastAsia="Calibri" w:cs="Calibri"/>
              <w:color w:val="808080"/>
              <w:sz w:val="18"/>
              <w:szCs w:val="18"/>
            </w:rPr>
            <w:t>Memoria Científico-Técnica.</w:t>
          </w:r>
        </w:p>
        <w:p>
          <w:pPr>
            <w:pStyle w:val="Normal"/>
            <w:pBdr/>
            <w:tabs>
              <w:tab w:val="clear" w:pos="720"/>
              <w:tab w:val="center" w:pos="4252" w:leader="none"/>
              <w:tab w:val="right" w:pos="8504" w:leader="none"/>
            </w:tabs>
            <w:spacing w:lineRule="auto" w:line="240" w:before="0" w:after="0"/>
            <w:jc w:val="left"/>
            <w:rPr>
              <w:rFonts w:ascii="Calibri" w:hAnsi="Calibri" w:eastAsia="Calibri" w:cs="Calibri"/>
              <w:color w:val="808080"/>
              <w:sz w:val="18"/>
              <w:szCs w:val="18"/>
            </w:rPr>
          </w:pPr>
          <w:r>
            <w:rPr>
              <w:rFonts w:eastAsia="Calibri" w:cs="Calibri"/>
              <w:color w:val="808080"/>
              <w:sz w:val="18"/>
              <w:szCs w:val="18"/>
            </w:rPr>
            <w:t>Proyectos coordinados tipo A, B y RTA</w:t>
          </w:r>
        </w:p>
      </w:tc>
      <w:tc>
        <w:tcPr>
          <w:tcW w:w="2776" w:type="dxa"/>
          <w:tcBorders>
            <w:top w:val="single" w:sz="4" w:space="0" w:color="A6A6A6"/>
          </w:tcBorders>
          <w:vAlign w:val="center"/>
        </w:tcPr>
        <w:p>
          <w:pPr>
            <w:pStyle w:val="Normal"/>
            <w:pBdr/>
            <w:tabs>
              <w:tab w:val="clear" w:pos="720"/>
              <w:tab w:val="center" w:pos="4252" w:leader="none"/>
              <w:tab w:val="right" w:pos="8504" w:leader="none"/>
            </w:tabs>
            <w:spacing w:lineRule="auto" w:line="240" w:before="0" w:after="0"/>
            <w:jc w:val="left"/>
            <w:rPr>
              <w:rFonts w:ascii="Calibri" w:hAnsi="Calibri" w:eastAsia="Calibri" w:cs="Calibri"/>
              <w:color w:val="000000"/>
              <w:sz w:val="20"/>
              <w:szCs w:val="20"/>
            </w:rPr>
          </w:pPr>
          <w:r>
            <w:rPr>
              <w:rFonts w:eastAsia="Calibri" w:cs="Calibri"/>
              <w:color w:val="000000"/>
              <w:sz w:val="20"/>
              <w:szCs w:val="20"/>
            </w:rPr>
          </w:r>
        </w:p>
      </w:tc>
      <w:tc>
        <w:tcPr>
          <w:tcW w:w="1213" w:type="dxa"/>
          <w:tcBorders>
            <w:top w:val="single" w:sz="4" w:space="0" w:color="A6A6A6"/>
          </w:tcBorders>
          <w:vAlign w:val="center"/>
        </w:tcPr>
        <w:p>
          <w:pPr>
            <w:pStyle w:val="Normal"/>
            <w:pBdr/>
            <w:tabs>
              <w:tab w:val="clear" w:pos="720"/>
              <w:tab w:val="center" w:pos="4252" w:leader="none"/>
              <w:tab w:val="right" w:pos="8504" w:leader="none"/>
            </w:tabs>
            <w:spacing w:lineRule="auto" w:line="240" w:before="0" w:after="0"/>
            <w:jc w:val="right"/>
            <w:rPr>
              <w:rFonts w:ascii="Calibri" w:hAnsi="Calibri" w:eastAsia="Calibri" w:cs="Calibri"/>
              <w:color w:val="808080"/>
              <w:sz w:val="20"/>
              <w:szCs w:val="20"/>
            </w:rPr>
          </w:pPr>
          <w:r>
            <w:rPr>
              <w:rFonts w:eastAsia="Calibri" w:cs="Calibri"/>
              <w:color w:val="808080"/>
              <w:sz w:val="20"/>
              <w:szCs w:val="20"/>
            </w:rPr>
            <w:t xml:space="preserve">Pag </w:t>
          </w:r>
          <w:r>
            <w:rPr>
              <w:color w:val="808080"/>
              <w:sz w:val="20"/>
              <w:szCs w:val="20"/>
            </w:rPr>
            <w:fldChar w:fldCharType="begin"/>
          </w:r>
          <w:r>
            <w:rPr>
              <w:sz w:val="20"/>
              <w:szCs w:val="20"/>
              <w:color w:val="808080"/>
            </w:rPr>
            <w:instrText xml:space="preserve"> PAGE </w:instrText>
          </w:r>
          <w:r>
            <w:rPr>
              <w:sz w:val="20"/>
              <w:szCs w:val="20"/>
              <w:color w:val="808080"/>
            </w:rPr>
            <w:fldChar w:fldCharType="separate"/>
          </w:r>
          <w:r>
            <w:rPr>
              <w:sz w:val="20"/>
              <w:szCs w:val="20"/>
              <w:color w:val="808080"/>
            </w:rPr>
            <w:t>35</w:t>
          </w:r>
          <w:r>
            <w:rPr>
              <w:sz w:val="20"/>
              <w:szCs w:val="20"/>
              <w:color w:val="808080"/>
            </w:rPr>
            <w:fldChar w:fldCharType="end"/>
          </w:r>
          <w:r>
            <w:rPr>
              <w:rFonts w:eastAsia="Calibri" w:cs="Calibri"/>
              <w:color w:val="808080"/>
              <w:sz w:val="20"/>
              <w:szCs w:val="20"/>
            </w:rPr>
            <w:t xml:space="preserve"> de </w:t>
          </w:r>
          <w:r>
            <w:rPr>
              <w:color w:val="808080"/>
              <w:sz w:val="20"/>
              <w:szCs w:val="20"/>
            </w:rPr>
            <w:fldChar w:fldCharType="begin"/>
          </w:r>
          <w:r>
            <w:rPr>
              <w:sz w:val="20"/>
              <w:szCs w:val="20"/>
              <w:color w:val="808080"/>
            </w:rPr>
            <w:instrText xml:space="preserve"> NUMPAGES </w:instrText>
          </w:r>
          <w:r>
            <w:rPr>
              <w:sz w:val="20"/>
              <w:szCs w:val="20"/>
              <w:color w:val="808080"/>
            </w:rPr>
            <w:fldChar w:fldCharType="separate"/>
          </w:r>
          <w:r>
            <w:rPr>
              <w:sz w:val="20"/>
              <w:szCs w:val="20"/>
              <w:color w:val="808080"/>
            </w:rPr>
            <w:t>35</w:t>
          </w:r>
          <w:r>
            <w:rPr>
              <w:sz w:val="20"/>
              <w:szCs w:val="20"/>
              <w:color w:val="808080"/>
            </w:rPr>
            <w:fldChar w:fldCharType="end"/>
          </w:r>
        </w:p>
      </w:tc>
    </w:tr>
  </w:tbl>
  <w:p>
    <w:pPr>
      <w:pStyle w:val="Normal"/>
      <w:pBdr/>
      <w:tabs>
        <w:tab w:val="clear" w:pos="720"/>
        <w:tab w:val="center" w:pos="4252" w:leader="none"/>
        <w:tab w:val="right" w:pos="8504" w:leader="none"/>
      </w:tabs>
      <w:spacing w:lineRule="auto" w:line="240" w:before="0" w:after="0"/>
      <w:rPr>
        <w:color w:val="000000"/>
        <w:sz w:val="4"/>
        <w:szCs w:val="4"/>
      </w:rPr>
    </w:pPr>
    <w:r>
      <w:rPr>
        <w:color w:val="000000"/>
        <w:sz w:val="4"/>
        <w:szCs w:val="4"/>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widowControl w:val="false"/>
      <w:pBdr/>
      <w:spacing w:before="0" w:after="0"/>
      <w:rPr>
        <w:color w:val="000000"/>
        <w:sz w:val="4"/>
        <w:szCs w:val="4"/>
      </w:rPr>
    </w:pPr>
    <w:r>
      <w:rPr>
        <w:color w:val="000000"/>
        <w:sz w:val="4"/>
        <w:szCs w:val="4"/>
      </w:rPr>
    </w:r>
  </w:p>
  <w:tbl>
    <w:tblPr>
      <w:tblStyle w:val="ac"/>
      <w:tblW w:w="9070" w:type="dxa"/>
      <w:jc w:val="left"/>
      <w:tblInd w:w="0" w:type="dxa"/>
      <w:tblLayout w:type="fixed"/>
      <w:tblCellMar>
        <w:top w:w="57" w:type="dxa"/>
        <w:left w:w="108" w:type="dxa"/>
        <w:bottom w:w="57" w:type="dxa"/>
        <w:right w:w="108" w:type="dxa"/>
      </w:tblCellMar>
      <w:tblLook w:val="0400" w:noHBand="0" w:noVBand="1" w:firstColumn="0" w:lastRow="0" w:lastColumn="0" w:firstRow="0"/>
    </w:tblPr>
    <w:tblGrid>
      <w:gridCol w:w="5081"/>
      <w:gridCol w:w="2776"/>
      <w:gridCol w:w="1213"/>
    </w:tblGrid>
    <w:tr>
      <w:trPr/>
      <w:tc>
        <w:tcPr>
          <w:tcW w:w="5081" w:type="dxa"/>
          <w:tcBorders>
            <w:top w:val="single" w:sz="4" w:space="0" w:color="A6A6A6"/>
          </w:tcBorders>
          <w:vAlign w:val="center"/>
        </w:tcPr>
        <w:p>
          <w:pPr>
            <w:pStyle w:val="Normal"/>
            <w:pBdr/>
            <w:tabs>
              <w:tab w:val="clear" w:pos="720"/>
              <w:tab w:val="center" w:pos="4252" w:leader="none"/>
              <w:tab w:val="right" w:pos="8504" w:leader="none"/>
            </w:tabs>
            <w:spacing w:lineRule="auto" w:line="240" w:before="0" w:after="0"/>
            <w:jc w:val="left"/>
            <w:rPr>
              <w:rFonts w:ascii="Calibri" w:hAnsi="Calibri" w:eastAsia="Calibri" w:cs="Calibri"/>
              <w:color w:val="808080"/>
              <w:sz w:val="18"/>
              <w:szCs w:val="18"/>
            </w:rPr>
          </w:pPr>
          <w:r>
            <w:rPr>
              <w:rFonts w:eastAsia="Calibri" w:cs="Calibri"/>
              <w:color w:val="808080"/>
              <w:sz w:val="18"/>
              <w:szCs w:val="18"/>
            </w:rPr>
            <w:t>Memoria Científico-Técnica.</w:t>
          </w:r>
        </w:p>
        <w:p>
          <w:pPr>
            <w:pStyle w:val="Normal"/>
            <w:pBdr/>
            <w:tabs>
              <w:tab w:val="clear" w:pos="720"/>
              <w:tab w:val="center" w:pos="4252" w:leader="none"/>
              <w:tab w:val="right" w:pos="8504" w:leader="none"/>
            </w:tabs>
            <w:spacing w:lineRule="auto" w:line="240" w:before="0" w:after="0"/>
            <w:jc w:val="left"/>
            <w:rPr>
              <w:rFonts w:ascii="Calibri" w:hAnsi="Calibri" w:eastAsia="Calibri" w:cs="Calibri"/>
              <w:color w:val="808080"/>
              <w:sz w:val="18"/>
              <w:szCs w:val="18"/>
            </w:rPr>
          </w:pPr>
          <w:r>
            <w:rPr>
              <w:rFonts w:eastAsia="Calibri" w:cs="Calibri"/>
              <w:color w:val="808080"/>
              <w:sz w:val="18"/>
              <w:szCs w:val="18"/>
            </w:rPr>
            <w:t>Proyectos coordinados tipo A, B y RTA</w:t>
          </w:r>
        </w:p>
      </w:tc>
      <w:tc>
        <w:tcPr>
          <w:tcW w:w="2776" w:type="dxa"/>
          <w:tcBorders>
            <w:top w:val="single" w:sz="4" w:space="0" w:color="A6A6A6"/>
          </w:tcBorders>
          <w:vAlign w:val="center"/>
        </w:tcPr>
        <w:p>
          <w:pPr>
            <w:pStyle w:val="Normal"/>
            <w:pBdr/>
            <w:tabs>
              <w:tab w:val="clear" w:pos="720"/>
              <w:tab w:val="center" w:pos="4252" w:leader="none"/>
              <w:tab w:val="right" w:pos="8504" w:leader="none"/>
            </w:tabs>
            <w:spacing w:lineRule="auto" w:line="240" w:before="0" w:after="0"/>
            <w:jc w:val="left"/>
            <w:rPr>
              <w:rFonts w:ascii="Calibri" w:hAnsi="Calibri" w:eastAsia="Calibri" w:cs="Calibri"/>
              <w:color w:val="000000"/>
              <w:sz w:val="20"/>
              <w:szCs w:val="20"/>
            </w:rPr>
          </w:pPr>
          <w:r>
            <w:rPr>
              <w:rFonts w:eastAsia="Calibri" w:cs="Calibri"/>
              <w:color w:val="000000"/>
              <w:sz w:val="20"/>
              <w:szCs w:val="20"/>
            </w:rPr>
          </w:r>
        </w:p>
      </w:tc>
      <w:tc>
        <w:tcPr>
          <w:tcW w:w="1213" w:type="dxa"/>
          <w:tcBorders>
            <w:top w:val="single" w:sz="4" w:space="0" w:color="A6A6A6"/>
          </w:tcBorders>
          <w:vAlign w:val="center"/>
        </w:tcPr>
        <w:p>
          <w:pPr>
            <w:pStyle w:val="Normal"/>
            <w:pBdr/>
            <w:tabs>
              <w:tab w:val="clear" w:pos="720"/>
              <w:tab w:val="center" w:pos="4252" w:leader="none"/>
              <w:tab w:val="right" w:pos="8504" w:leader="none"/>
            </w:tabs>
            <w:spacing w:lineRule="auto" w:line="240" w:before="0" w:after="0"/>
            <w:jc w:val="right"/>
            <w:rPr>
              <w:rFonts w:ascii="Calibri" w:hAnsi="Calibri" w:eastAsia="Calibri" w:cs="Calibri"/>
              <w:color w:val="808080"/>
              <w:sz w:val="20"/>
              <w:szCs w:val="20"/>
            </w:rPr>
          </w:pPr>
          <w:r>
            <w:rPr>
              <w:rFonts w:eastAsia="Calibri" w:cs="Calibri"/>
              <w:color w:val="808080"/>
              <w:sz w:val="20"/>
              <w:szCs w:val="20"/>
            </w:rPr>
            <w:t xml:space="preserve">Pag </w:t>
          </w:r>
          <w:r>
            <w:rPr>
              <w:color w:val="808080"/>
              <w:sz w:val="20"/>
              <w:szCs w:val="20"/>
            </w:rPr>
            <w:fldChar w:fldCharType="begin"/>
          </w:r>
          <w:r>
            <w:rPr>
              <w:sz w:val="20"/>
              <w:szCs w:val="20"/>
              <w:color w:val="808080"/>
            </w:rPr>
            <w:instrText xml:space="preserve"> PAGE </w:instrText>
          </w:r>
          <w:r>
            <w:rPr>
              <w:sz w:val="20"/>
              <w:szCs w:val="20"/>
              <w:color w:val="808080"/>
            </w:rPr>
            <w:fldChar w:fldCharType="separate"/>
          </w:r>
          <w:r>
            <w:rPr>
              <w:sz w:val="20"/>
              <w:szCs w:val="20"/>
              <w:color w:val="808080"/>
            </w:rPr>
            <w:t>1</w:t>
          </w:r>
          <w:r>
            <w:rPr>
              <w:sz w:val="20"/>
              <w:szCs w:val="20"/>
              <w:color w:val="808080"/>
            </w:rPr>
            <w:fldChar w:fldCharType="end"/>
          </w:r>
          <w:r>
            <w:rPr>
              <w:rFonts w:eastAsia="Calibri" w:cs="Calibri"/>
              <w:color w:val="808080"/>
              <w:sz w:val="20"/>
              <w:szCs w:val="20"/>
            </w:rPr>
            <w:t xml:space="preserve"> de </w:t>
          </w:r>
          <w:r>
            <w:rPr>
              <w:color w:val="808080"/>
              <w:sz w:val="20"/>
              <w:szCs w:val="20"/>
            </w:rPr>
            <w:fldChar w:fldCharType="begin"/>
          </w:r>
          <w:r>
            <w:rPr>
              <w:sz w:val="20"/>
              <w:szCs w:val="20"/>
              <w:color w:val="808080"/>
            </w:rPr>
            <w:instrText xml:space="preserve"> NUMPAGES </w:instrText>
          </w:r>
          <w:r>
            <w:rPr>
              <w:sz w:val="20"/>
              <w:szCs w:val="20"/>
              <w:color w:val="808080"/>
            </w:rPr>
            <w:fldChar w:fldCharType="separate"/>
          </w:r>
          <w:r>
            <w:rPr>
              <w:sz w:val="20"/>
              <w:szCs w:val="20"/>
              <w:color w:val="808080"/>
            </w:rPr>
            <w:t>35</w:t>
          </w:r>
          <w:r>
            <w:rPr>
              <w:sz w:val="20"/>
              <w:szCs w:val="20"/>
              <w:color w:val="808080"/>
            </w:rPr>
            <w:fldChar w:fldCharType="end"/>
          </w:r>
        </w:p>
      </w:tc>
    </w:tr>
  </w:tbl>
  <w:p>
    <w:pPr>
      <w:pStyle w:val="Normal"/>
      <w:pBdr/>
      <w:tabs>
        <w:tab w:val="clear" w:pos="720"/>
        <w:tab w:val="center" w:pos="4252" w:leader="none"/>
        <w:tab w:val="right" w:pos="8504" w:leader="none"/>
      </w:tabs>
      <w:spacing w:lineRule="auto" w:line="240" w:before="0" w:after="0"/>
      <w:rPr>
        <w:color w:val="000000"/>
      </w:rPr>
    </w:pPr>
    <w:r>
      <w:rPr>
        <w:color w:val="000000"/>
      </w:rPr>
    </w:r>
  </w:p>
</w:ftr>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footnote w:id="0" w:type="separator">
    <w:p>
      <w:r>
        <w:separator/>
      </w:r>
    </w:p>
  </w:footnote>
  <w:footnote w:id="1" w:type="continuationSeparator">
    <w:p>
      <w:r>
        <w:continuationSeparator/>
      </w:r>
    </w:p>
  </w:footnote>
  <w:footnote w:id="2">
    <w:p>
      <w:pPr>
        <w:pStyle w:val="Normal"/>
        <w:spacing w:lineRule="auto" w:line="240" w:before="0" w:after="0"/>
        <w:rPr>
          <w:sz w:val="20"/>
          <w:szCs w:val="20"/>
        </w:rPr>
      </w:pPr>
      <w:r>
        <w:rPr>
          <w:rStyle w:val="Caracteresdenotaalpie"/>
        </w:rPr>
        <w:footnoteRef/>
      </w:r>
      <w:r>
        <w:rPr>
          <w:sz w:val="20"/>
          <w:szCs w:val="20"/>
        </w:rPr>
        <w:t xml:space="preserve"> </w:t>
      </w:r>
      <w:r>
        <w:rPr>
          <w:sz w:val="20"/>
          <w:szCs w:val="20"/>
        </w:rPr>
        <w:t>All references are listed at the end of the document.</w:t>
      </w:r>
    </w:p>
  </w:footnote>
  <w:footnote w:id="3">
    <w:p>
      <w:pPr>
        <w:pStyle w:val="Normal"/>
        <w:spacing w:lineRule="auto" w:line="240" w:before="0" w:after="0"/>
        <w:rPr>
          <w:sz w:val="20"/>
          <w:szCs w:val="20"/>
        </w:rPr>
      </w:pPr>
      <w:r>
        <w:rPr>
          <w:rStyle w:val="Caracteresdenotaalpie"/>
        </w:rPr>
        <w:footnoteRef/>
      </w:r>
      <w:r>
        <w:rPr>
          <w:sz w:val="20"/>
          <w:szCs w:val="20"/>
        </w:rPr>
        <w:t xml:space="preserve"> </w:t>
      </w:r>
      <w:r>
        <w:rPr>
          <w:sz w:val="20"/>
          <w:szCs w:val="20"/>
        </w:rPr>
        <w:t>Click on the article ID to access the DOI link.</w:t>
      </w:r>
    </w:p>
    <w:p>
      <w:pPr>
        <w:pStyle w:val="Normal"/>
        <w:spacing w:lineRule="auto" w:line="240" w:before="0" w:after="0"/>
        <w:rPr>
          <w:sz w:val="20"/>
          <w:szCs w:val="20"/>
        </w:rPr>
      </w:pPr>
      <w:r>
        <w:rPr/>
      </w:r>
    </w:p>
  </w:footnote>
</w:footnote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spacing w:before="0" w:after="200"/>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widowControl w:val="false"/>
      <w:pBdr/>
      <w:spacing w:before="0" w:after="0"/>
      <w:rPr>
        <w:color w:val="000000"/>
      </w:rPr>
    </w:pPr>
    <w:r>
      <w:rPr>
        <w:color w:val="000000"/>
      </w:rPr>
    </w:r>
  </w:p>
  <w:tbl>
    <w:tblPr>
      <w:tblStyle w:val="a9"/>
      <w:tblW w:w="9498" w:type="dxa"/>
      <w:jc w:val="center"/>
      <w:tblInd w:w="0" w:type="dxa"/>
      <w:tblLayout w:type="fixed"/>
      <w:tblCellMar>
        <w:top w:w="0" w:type="dxa"/>
        <w:left w:w="108" w:type="dxa"/>
        <w:bottom w:w="0" w:type="dxa"/>
        <w:right w:w="108" w:type="dxa"/>
      </w:tblCellMar>
      <w:tblLook w:val="0400" w:noHBand="0" w:noVBand="1" w:firstColumn="0" w:lastRow="0" w:lastColumn="0" w:firstRow="0"/>
    </w:tblPr>
    <w:tblGrid>
      <w:gridCol w:w="4536"/>
      <w:gridCol w:w="1558"/>
      <w:gridCol w:w="3404"/>
    </w:tblGrid>
    <w:tr>
      <w:trPr>
        <w:trHeight w:val="19" w:hRule="atLeast"/>
      </w:trPr>
      <w:tc>
        <w:tcPr>
          <w:tcW w:w="4536" w:type="dxa"/>
          <w:tcBorders/>
          <w:vAlign w:val="center"/>
        </w:tcPr>
        <w:p>
          <w:pPr>
            <w:pStyle w:val="Normal"/>
            <w:pBdr/>
            <w:tabs>
              <w:tab w:val="clear" w:pos="720"/>
              <w:tab w:val="center" w:pos="4252" w:leader="none"/>
              <w:tab w:val="right" w:pos="8504" w:leader="none"/>
            </w:tabs>
            <w:spacing w:lineRule="auto" w:line="240" w:before="0" w:after="0"/>
            <w:ind w:firstLine="108" w:left="356"/>
            <w:rPr>
              <w:rFonts w:ascii="Arial" w:hAnsi="Arial" w:eastAsia="Arial" w:cs="Arial"/>
              <w:color w:val="000000"/>
              <w:sz w:val="16"/>
              <w:szCs w:val="16"/>
            </w:rPr>
          </w:pPr>
          <w:r>
            <w:rPr>
              <w:rFonts w:eastAsia="Arial" w:cs="Arial" w:ascii="Arial" w:hAnsi="Arial"/>
              <w:color w:val="000000"/>
              <w:sz w:val="16"/>
              <w:szCs w:val="16"/>
            </w:rPr>
            <w:drawing>
              <wp:anchor behindDoc="1" distT="0" distB="0" distL="114300" distR="114300" simplePos="0" locked="0" layoutInCell="1" allowOverlap="1" relativeHeight="42">
                <wp:simplePos x="0" y="0"/>
                <wp:positionH relativeFrom="column">
                  <wp:posOffset>-4445</wp:posOffset>
                </wp:positionH>
                <wp:positionV relativeFrom="paragraph">
                  <wp:posOffset>-642620</wp:posOffset>
                </wp:positionV>
                <wp:extent cx="638175" cy="638175"/>
                <wp:effectExtent l="0" t="0" r="0" b="0"/>
                <wp:wrapTopAndBottom/>
                <wp:docPr id="12" name="image2.jpg" descr="Imagen que contiene 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jpg" descr="Imagen que contiene Gráfico&#10;&#10;Descripción generada automáticamente"/>
                        <pic:cNvPicPr>
                          <a:picLocks noChangeAspect="1" noChangeArrowheads="1"/>
                        </pic:cNvPicPr>
                      </pic:nvPicPr>
                      <pic:blipFill>
                        <a:blip r:embed="rId1"/>
                        <a:stretch>
                          <a:fillRect/>
                        </a:stretch>
                      </pic:blipFill>
                      <pic:spPr bwMode="auto">
                        <a:xfrm>
                          <a:off x="0" y="0"/>
                          <a:ext cx="638175" cy="638175"/>
                        </a:xfrm>
                        <a:prstGeom prst="rect">
                          <a:avLst/>
                        </a:prstGeom>
                        <a:noFill/>
                      </pic:spPr>
                    </pic:pic>
                  </a:graphicData>
                </a:graphic>
              </wp:anchor>
            </w:drawing>
          </w:r>
        </w:p>
      </w:tc>
      <w:tc>
        <w:tcPr>
          <w:tcW w:w="1558" w:type="dxa"/>
          <w:tcBorders/>
          <w:vAlign w:val="center"/>
        </w:tcPr>
        <w:p>
          <w:pPr>
            <w:pStyle w:val="Normal"/>
            <w:spacing w:lineRule="auto" w:line="240" w:before="0" w:after="40"/>
            <w:rPr>
              <w:rFonts w:ascii="Arial" w:hAnsi="Arial" w:eastAsia="Arial" w:cs="Arial"/>
              <w:sz w:val="16"/>
              <w:szCs w:val="16"/>
            </w:rPr>
          </w:pPr>
          <w:r>
            <w:rPr>
              <w:rFonts w:eastAsia="Arial" w:cs="Arial" w:ascii="Arial" w:hAnsi="Arial"/>
              <w:sz w:val="16"/>
              <w:szCs w:val="16"/>
            </w:rPr>
          </w:r>
        </w:p>
      </w:tc>
      <w:tc>
        <w:tcPr>
          <w:tcW w:w="3404" w:type="dxa"/>
          <w:tcBorders/>
          <w:vAlign w:val="center"/>
        </w:tcPr>
        <w:p>
          <w:pPr>
            <w:pStyle w:val="Normal"/>
            <w:spacing w:lineRule="auto" w:line="240" w:before="0" w:after="0"/>
            <w:ind w:right="2817"/>
            <w:jc w:val="right"/>
            <w:rPr>
              <w:rFonts w:ascii="Arial" w:hAnsi="Arial" w:eastAsia="Arial" w:cs="Arial"/>
              <w:sz w:val="16"/>
              <w:szCs w:val="16"/>
            </w:rPr>
          </w:pPr>
          <w:r>
            <w:rPr>
              <w:rFonts w:eastAsia="Arial" w:cs="Arial" w:ascii="Arial" w:hAnsi="Arial"/>
              <w:sz w:val="16"/>
              <w:szCs w:val="16"/>
            </w:rPr>
            <w:drawing>
              <wp:anchor behindDoc="1" distT="0" distB="0" distL="114300" distR="114300" simplePos="0" locked="0" layoutInCell="1" allowOverlap="1" relativeHeight="76">
                <wp:simplePos x="0" y="0"/>
                <wp:positionH relativeFrom="column">
                  <wp:posOffset>5438775</wp:posOffset>
                </wp:positionH>
                <wp:positionV relativeFrom="paragraph">
                  <wp:posOffset>635</wp:posOffset>
                </wp:positionV>
                <wp:extent cx="320675" cy="504190"/>
                <wp:effectExtent l="0" t="0" r="0" b="0"/>
                <wp:wrapTopAndBottom/>
                <wp:docPr id="13" name="image5.jpg" descr="Pizar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5.jpg" descr="Pizarra&#10;&#10;Descripción generada automáticamente con confianza media"/>
                        <pic:cNvPicPr>
                          <a:picLocks noChangeAspect="1" noChangeArrowheads="1"/>
                        </pic:cNvPicPr>
                      </pic:nvPicPr>
                      <pic:blipFill>
                        <a:blip r:embed="rId2"/>
                        <a:stretch>
                          <a:fillRect/>
                        </a:stretch>
                      </pic:blipFill>
                      <pic:spPr bwMode="auto">
                        <a:xfrm>
                          <a:off x="0" y="0"/>
                          <a:ext cx="320675" cy="504190"/>
                        </a:xfrm>
                        <a:prstGeom prst="rect">
                          <a:avLst/>
                        </a:prstGeom>
                        <a:noFill/>
                      </pic:spPr>
                    </pic:pic>
                  </a:graphicData>
                </a:graphic>
              </wp:anchor>
            </w:drawing>
          </w:r>
        </w:p>
      </w:tc>
    </w:tr>
  </w:tbl>
  <w:p>
    <w:pPr>
      <w:pStyle w:val="Normal"/>
      <w:pBdr/>
      <w:tabs>
        <w:tab w:val="clear" w:pos="720"/>
        <w:tab w:val="center" w:pos="4252" w:leader="none"/>
        <w:tab w:val="right" w:pos="8504" w:leader="none"/>
      </w:tabs>
      <w:spacing w:lineRule="auto" w:line="240" w:before="0" w:after="0"/>
      <w:jc w:val="right"/>
      <w:rPr>
        <w:rFonts w:ascii="Arial" w:hAnsi="Arial" w:eastAsia="Arial" w:cs="Arial"/>
        <w:color w:val="000000"/>
        <w:sz w:val="18"/>
        <w:szCs w:val="18"/>
      </w:rPr>
    </w:pPr>
    <w:r>
      <w:rPr>
        <w:rFonts w:eastAsia="Arial" w:cs="Arial" w:ascii="Arial" w:hAnsi="Arial"/>
        <w:color w:val="000000"/>
        <w:sz w:val="18"/>
        <w:szCs w:val="18"/>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widowControl w:val="false"/>
      <w:pBdr/>
      <w:spacing w:before="0" w:after="0"/>
      <w:rPr>
        <w:rFonts w:ascii="Arial" w:hAnsi="Arial" w:eastAsia="Arial" w:cs="Arial"/>
        <w:color w:val="000000"/>
        <w:sz w:val="18"/>
        <w:szCs w:val="18"/>
      </w:rPr>
    </w:pPr>
    <w:r>
      <w:rPr>
        <w:rFonts w:eastAsia="Arial" w:cs="Arial" w:ascii="Arial" w:hAnsi="Arial"/>
        <w:color w:val="000000"/>
        <w:sz w:val="18"/>
        <w:szCs w:val="18"/>
      </w:rPr>
    </w:r>
  </w:p>
  <w:tbl>
    <w:tblPr>
      <w:tblStyle w:val="aa"/>
      <w:tblW w:w="9498" w:type="dxa"/>
      <w:jc w:val="center"/>
      <w:tblInd w:w="0" w:type="dxa"/>
      <w:tblLayout w:type="fixed"/>
      <w:tblCellMar>
        <w:top w:w="0" w:type="dxa"/>
        <w:left w:w="108" w:type="dxa"/>
        <w:bottom w:w="0" w:type="dxa"/>
        <w:right w:w="108" w:type="dxa"/>
      </w:tblCellMar>
      <w:tblLook w:val="0400" w:noHBand="0" w:noVBand="1" w:firstColumn="0" w:lastRow="0" w:lastColumn="0" w:firstRow="0"/>
    </w:tblPr>
    <w:tblGrid>
      <w:gridCol w:w="4536"/>
      <w:gridCol w:w="1558"/>
      <w:gridCol w:w="3404"/>
    </w:tblGrid>
    <w:tr>
      <w:trPr>
        <w:trHeight w:val="19" w:hRule="atLeast"/>
      </w:trPr>
      <w:tc>
        <w:tcPr>
          <w:tcW w:w="4536" w:type="dxa"/>
          <w:tcBorders/>
          <w:vAlign w:val="center"/>
        </w:tcPr>
        <w:p>
          <w:pPr>
            <w:pStyle w:val="Normal"/>
            <w:pBdr/>
            <w:tabs>
              <w:tab w:val="clear" w:pos="720"/>
              <w:tab w:val="center" w:pos="4252" w:leader="none"/>
              <w:tab w:val="right" w:pos="8504" w:leader="none"/>
            </w:tabs>
            <w:spacing w:lineRule="auto" w:line="240" w:before="0" w:after="0"/>
            <w:ind w:firstLine="108" w:left="356"/>
            <w:rPr>
              <w:rFonts w:ascii="Arial" w:hAnsi="Arial" w:eastAsia="Arial" w:cs="Arial"/>
              <w:color w:val="000000"/>
              <w:sz w:val="16"/>
              <w:szCs w:val="16"/>
            </w:rPr>
          </w:pPr>
          <w:r>
            <w:rPr>
              <w:rFonts w:eastAsia="Arial" w:cs="Arial" w:ascii="Arial" w:hAnsi="Arial"/>
              <w:color w:val="000000"/>
              <w:sz w:val="16"/>
              <w:szCs w:val="16"/>
            </w:rPr>
            <w:drawing>
              <wp:anchor behindDoc="1" distT="0" distB="0" distL="114300" distR="114300" simplePos="0" locked="0" layoutInCell="1" allowOverlap="1" relativeHeight="77">
                <wp:simplePos x="0" y="0"/>
                <wp:positionH relativeFrom="column">
                  <wp:posOffset>0</wp:posOffset>
                </wp:positionH>
                <wp:positionV relativeFrom="paragraph">
                  <wp:posOffset>57785</wp:posOffset>
                </wp:positionV>
                <wp:extent cx="1652270" cy="504190"/>
                <wp:effectExtent l="0" t="0" r="0" b="0"/>
                <wp:wrapTopAndBottom/>
                <wp:docPr id="14" name="image3.jpg"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3.jpg" descr="Texto&#10;&#10;Descripción generada automáticamente"/>
                        <pic:cNvPicPr>
                          <a:picLocks noChangeAspect="1" noChangeArrowheads="1"/>
                        </pic:cNvPicPr>
                      </pic:nvPicPr>
                      <pic:blipFill>
                        <a:blip r:embed="rId1"/>
                        <a:stretch>
                          <a:fillRect/>
                        </a:stretch>
                      </pic:blipFill>
                      <pic:spPr bwMode="auto">
                        <a:xfrm>
                          <a:off x="0" y="0"/>
                          <a:ext cx="1652270" cy="504190"/>
                        </a:xfrm>
                        <a:prstGeom prst="rect">
                          <a:avLst/>
                        </a:prstGeom>
                        <a:noFill/>
                      </pic:spPr>
                    </pic:pic>
                  </a:graphicData>
                </a:graphic>
              </wp:anchor>
            </w:drawing>
          </w:r>
        </w:p>
      </w:tc>
      <w:tc>
        <w:tcPr>
          <w:tcW w:w="1558" w:type="dxa"/>
          <w:tcBorders/>
          <w:vAlign w:val="center"/>
        </w:tcPr>
        <w:p>
          <w:pPr>
            <w:pStyle w:val="Normal"/>
            <w:spacing w:lineRule="auto" w:line="240" w:before="0" w:after="40"/>
            <w:rPr>
              <w:rFonts w:ascii="Arial" w:hAnsi="Arial" w:eastAsia="Arial" w:cs="Arial"/>
              <w:sz w:val="16"/>
              <w:szCs w:val="16"/>
            </w:rPr>
          </w:pPr>
          <w:r>
            <w:rPr/>
            <w:drawing>
              <wp:inline distT="0" distB="0" distL="0" distR="0">
                <wp:extent cx="716280" cy="630555"/>
                <wp:effectExtent l="0" t="0" r="0" b="0"/>
                <wp:docPr id="15" name="image4.jpg" descr="Imagen que contiene 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4.jpg" descr="Imagen que contiene Logotipo&#10;&#10;Descripción generada automáticamente"/>
                        <pic:cNvPicPr>
                          <a:picLocks noChangeAspect="1" noChangeArrowheads="1"/>
                        </pic:cNvPicPr>
                      </pic:nvPicPr>
                      <pic:blipFill>
                        <a:blip r:embed="rId2"/>
                        <a:stretch>
                          <a:fillRect/>
                        </a:stretch>
                      </pic:blipFill>
                      <pic:spPr bwMode="auto">
                        <a:xfrm>
                          <a:off x="0" y="0"/>
                          <a:ext cx="716280" cy="630555"/>
                        </a:xfrm>
                        <a:prstGeom prst="rect">
                          <a:avLst/>
                        </a:prstGeom>
                        <a:noFill/>
                      </pic:spPr>
                    </pic:pic>
                  </a:graphicData>
                </a:graphic>
              </wp:inline>
            </w:drawing>
          </w:r>
        </w:p>
      </w:tc>
      <w:tc>
        <w:tcPr>
          <w:tcW w:w="3404" w:type="dxa"/>
          <w:tcBorders/>
          <w:vAlign w:val="center"/>
        </w:tcPr>
        <w:p>
          <w:pPr>
            <w:pStyle w:val="Normal"/>
            <w:spacing w:lineRule="auto" w:line="240" w:before="0" w:after="0"/>
            <w:ind w:right="2817"/>
            <w:jc w:val="right"/>
            <w:rPr>
              <w:rFonts w:ascii="Arial" w:hAnsi="Arial" w:eastAsia="Arial" w:cs="Arial"/>
              <w:sz w:val="16"/>
              <w:szCs w:val="16"/>
            </w:rPr>
          </w:pPr>
          <w:r>
            <w:rPr>
              <w:rFonts w:eastAsia="Arial" w:cs="Arial" w:ascii="Arial" w:hAnsi="Arial"/>
              <w:sz w:val="16"/>
              <w:szCs w:val="16"/>
            </w:rPr>
            <w:drawing>
              <wp:anchor behindDoc="1" distT="0" distB="0" distL="114300" distR="114300" simplePos="0" locked="0" layoutInCell="1" allowOverlap="1" relativeHeight="78">
                <wp:simplePos x="0" y="0"/>
                <wp:positionH relativeFrom="column">
                  <wp:posOffset>5039360</wp:posOffset>
                </wp:positionH>
                <wp:positionV relativeFrom="paragraph">
                  <wp:posOffset>635</wp:posOffset>
                </wp:positionV>
                <wp:extent cx="720090" cy="511175"/>
                <wp:effectExtent l="0" t="0" r="0" b="0"/>
                <wp:wrapTopAndBottom/>
                <wp:docPr id="16" name="image6.jpg"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6.jpg" descr="Texto&#10;&#10;Descripción generada automáticamente con confianza media"/>
                        <pic:cNvPicPr>
                          <a:picLocks noChangeAspect="1" noChangeArrowheads="1"/>
                        </pic:cNvPicPr>
                      </pic:nvPicPr>
                      <pic:blipFill>
                        <a:blip r:embed="rId3"/>
                        <a:stretch>
                          <a:fillRect/>
                        </a:stretch>
                      </pic:blipFill>
                      <pic:spPr bwMode="auto">
                        <a:xfrm>
                          <a:off x="0" y="0"/>
                          <a:ext cx="720090" cy="511175"/>
                        </a:xfrm>
                        <a:prstGeom prst="rect">
                          <a:avLst/>
                        </a:prstGeom>
                        <a:noFill/>
                      </pic:spPr>
                    </pic:pic>
                  </a:graphicData>
                </a:graphic>
              </wp:anchor>
            </w:drawing>
          </w:r>
        </w:p>
      </w:tc>
    </w:tr>
  </w:tbl>
  <w:p>
    <w:pPr>
      <w:pStyle w:val="Normal"/>
      <w:pBdr/>
      <w:tabs>
        <w:tab w:val="clear" w:pos="720"/>
        <w:tab w:val="center" w:pos="4252" w:leader="none"/>
        <w:tab w:val="right" w:pos="8504" w:leader="none"/>
      </w:tabs>
      <w:spacing w:lineRule="auto" w:line="240" w:before="0" w:after="0"/>
      <w:rPr>
        <w:color w:val="000000"/>
        <w:sz w:val="6"/>
        <w:szCs w:val="6"/>
      </w:rPr>
    </w:pPr>
    <w:r>
      <w:rPr>
        <w:color w:val="000000"/>
        <w:sz w:val="6"/>
        <w:szCs w:val="6"/>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720" w:hanging="360"/>
      </w:pPr>
      <w:rPr/>
    </w:lvl>
    <w:lvl w:ilvl="1">
      <w:start w:val="1"/>
      <w:numFmt w:val="decimal"/>
      <w:lvlText w:val="%1.%2."/>
      <w:lvlJc w:val="left"/>
      <w:pPr>
        <w:tabs>
          <w:tab w:val="num" w:pos="0"/>
        </w:tabs>
        <w:ind w:left="1080" w:hanging="720"/>
      </w:pPr>
      <w:rPr/>
    </w:lvl>
    <w:lvl w:ilvl="2">
      <w:start w:val="1"/>
      <w:numFmt w:val="decimal"/>
      <w:lvlText w:val="%1.%2.%3."/>
      <w:lvlJc w:val="left"/>
      <w:pPr>
        <w:tabs>
          <w:tab w:val="num" w:pos="0"/>
        </w:tabs>
        <w:ind w:left="1080" w:hanging="720"/>
      </w:pPr>
      <w:rPr/>
    </w:lvl>
    <w:lvl w:ilvl="3">
      <w:start w:val="1"/>
      <w:numFmt w:val="decimal"/>
      <w:lvlText w:val="%1.%2.%3.%4."/>
      <w:lvlJc w:val="left"/>
      <w:pPr>
        <w:tabs>
          <w:tab w:val="num" w:pos="0"/>
        </w:tabs>
        <w:ind w:left="1440" w:hanging="1080"/>
      </w:pPr>
      <w:rPr/>
    </w:lvl>
    <w:lvl w:ilvl="4">
      <w:start w:val="1"/>
      <w:numFmt w:val="decimal"/>
      <w:lvlText w:val="%1.%2.%3.%4.%5."/>
      <w:lvlJc w:val="left"/>
      <w:pPr>
        <w:tabs>
          <w:tab w:val="num" w:pos="0"/>
        </w:tabs>
        <w:ind w:left="1440" w:hanging="1080"/>
      </w:pPr>
      <w:rPr/>
    </w:lvl>
    <w:lvl w:ilvl="5">
      <w:start w:val="1"/>
      <w:numFmt w:val="decimal"/>
      <w:lvlText w:val="%1.%2.%3.%4.%5.%6."/>
      <w:lvlJc w:val="left"/>
      <w:pPr>
        <w:tabs>
          <w:tab w:val="num" w:pos="0"/>
        </w:tabs>
        <w:ind w:left="1800" w:hanging="1440"/>
      </w:pPr>
      <w:rPr/>
    </w:lvl>
    <w:lvl w:ilvl="6">
      <w:start w:val="1"/>
      <w:numFmt w:val="decimal"/>
      <w:lvlText w:val="%1.%2.%3.%4.%5.%6.%7."/>
      <w:lvlJc w:val="left"/>
      <w:pPr>
        <w:tabs>
          <w:tab w:val="num" w:pos="0"/>
        </w:tabs>
        <w:ind w:left="1800" w:hanging="1440"/>
      </w:pPr>
      <w:rPr/>
    </w:lvl>
    <w:lvl w:ilvl="7">
      <w:start w:val="1"/>
      <w:numFmt w:val="decimal"/>
      <w:lvlText w:val="%1.%2.%3.%4.%5.%6.%7.%8."/>
      <w:lvlJc w:val="left"/>
      <w:pPr>
        <w:tabs>
          <w:tab w:val="num" w:pos="0"/>
        </w:tabs>
        <w:ind w:left="2160" w:hanging="1800"/>
      </w:pPr>
      <w:rPr/>
    </w:lvl>
    <w:lvl w:ilvl="8">
      <w:start w:val="1"/>
      <w:numFmt w:val="decimal"/>
      <w:lvlText w:val="%1.%2.%3.%4.%5.%6.%7.%8.%9."/>
      <w:lvlJc w:val="left"/>
      <w:pPr>
        <w:tabs>
          <w:tab w:val="num" w:pos="0"/>
        </w:tabs>
        <w:ind w:left="2160" w:hanging="1800"/>
      </w:pPr>
      <w:rPr/>
    </w:lvl>
  </w:abstractNum>
  <w:abstractNum w:abstractNumId="2">
    <w:lvl w:ilvl="0">
      <w:start w:val="1"/>
      <w:numFmt w:val="upperRoman"/>
      <w:lvlText w:val="%1."/>
      <w:lvlJc w:val="right"/>
      <w:pPr>
        <w:tabs>
          <w:tab w:val="num" w:pos="0"/>
        </w:tabs>
        <w:ind w:left="720" w:hanging="360"/>
      </w:pPr>
      <w:rPr>
        <w:u w:val="none"/>
      </w:rPr>
    </w:lvl>
    <w:lvl w:ilvl="1">
      <w:start w:val="1"/>
      <w:numFmt w:val="upperLetter"/>
      <w:lvlText w:val="%2."/>
      <w:lvlJc w:val="left"/>
      <w:pPr>
        <w:tabs>
          <w:tab w:val="num" w:pos="0"/>
        </w:tabs>
        <w:ind w:left="1440" w:hanging="360"/>
      </w:pPr>
      <w:rPr>
        <w:u w:val="none"/>
      </w:rPr>
    </w:lvl>
    <w:lvl w:ilvl="2">
      <w:start w:val="1"/>
      <w:numFmt w:val="decimal"/>
      <w:lvlText w:val="%3."/>
      <w:lvlJc w:val="left"/>
      <w:pPr>
        <w:tabs>
          <w:tab w:val="num" w:pos="0"/>
        </w:tabs>
        <w:ind w:left="2160" w:hanging="360"/>
      </w:pPr>
      <w:rPr>
        <w:u w:val="none"/>
      </w:rPr>
    </w:lvl>
    <w:lvl w:ilvl="3">
      <w:start w:val="1"/>
      <w:numFmt w:val="lowerLetter"/>
      <w:lvlText w:val="%4)"/>
      <w:lvlJc w:val="left"/>
      <w:pPr>
        <w:tabs>
          <w:tab w:val="num" w:pos="0"/>
        </w:tabs>
        <w:ind w:left="2880" w:hanging="360"/>
      </w:pPr>
      <w:rPr>
        <w:u w:val="none"/>
      </w:rPr>
    </w:lvl>
    <w:lvl w:ilvl="4">
      <w:start w:val="1"/>
      <w:numFmt w:val="decimal"/>
      <w:lvlText w:val="(%5)"/>
      <w:lvlJc w:val="left"/>
      <w:pPr>
        <w:tabs>
          <w:tab w:val="num" w:pos="0"/>
        </w:tabs>
        <w:ind w:left="3600" w:hanging="360"/>
      </w:pPr>
      <w:rPr>
        <w:u w:val="none"/>
      </w:rPr>
    </w:lvl>
    <w:lvl w:ilvl="5">
      <w:start w:val="1"/>
      <w:numFmt w:val="lowerLetter"/>
      <w:lvlText w:val="(%6)"/>
      <w:lvlJc w:val="left"/>
      <w:pPr>
        <w:tabs>
          <w:tab w:val="num" w:pos="0"/>
        </w:tabs>
        <w:ind w:left="4320" w:hanging="360"/>
      </w:pPr>
      <w:rPr>
        <w:u w:val="none"/>
      </w:rPr>
    </w:lvl>
    <w:lvl w:ilvl="6">
      <w:start w:val="1"/>
      <w:numFmt w:val="lowerRoman"/>
      <w:lvlText w:val="(%7)"/>
      <w:lvlJc w:val="righ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right"/>
      <w:pPr>
        <w:tabs>
          <w:tab w:val="num" w:pos="0"/>
        </w:tabs>
        <w:ind w:left="6480" w:hanging="360"/>
      </w:pPr>
      <w:rPr>
        <w:u w:val="none"/>
      </w:rPr>
    </w:lvl>
  </w:abstractNum>
  <w:abstractNum w:abstractNumId="3">
    <w:lvl w:ilvl="0">
      <w:start w:val="1"/>
      <w:numFmt w:val="decimal"/>
      <w:lvlText w:val="%1."/>
      <w:lvlJc w:val="left"/>
      <w:pPr>
        <w:tabs>
          <w:tab w:val="num" w:pos="0"/>
        </w:tabs>
        <w:ind w:left="720" w:hanging="360"/>
      </w:pPr>
      <w:rPr>
        <w:u w:val="none"/>
      </w:rPr>
    </w:lvl>
    <w:lvl w:ilvl="1">
      <w:start w:val="1"/>
      <w:numFmt w:val="lowerLetter"/>
      <w:lvlText w:val="%2."/>
      <w:lvlJc w:val="left"/>
      <w:pPr>
        <w:tabs>
          <w:tab w:val="num" w:pos="0"/>
        </w:tabs>
        <w:ind w:left="1440" w:hanging="360"/>
      </w:pPr>
      <w:rPr>
        <w:u w:val="none"/>
      </w:rPr>
    </w:lvl>
    <w:lvl w:ilvl="2">
      <w:start w:val="1"/>
      <w:numFmt w:val="lowerRoman"/>
      <w:lvlText w:val="%3."/>
      <w:lvlJc w:val="right"/>
      <w:pPr>
        <w:tabs>
          <w:tab w:val="num" w:pos="0"/>
        </w:tabs>
        <w:ind w:left="2160" w:hanging="360"/>
      </w:pPr>
      <w:rPr>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righ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right"/>
      <w:pPr>
        <w:tabs>
          <w:tab w:val="num" w:pos="0"/>
        </w:tabs>
        <w:ind w:left="6480" w:hanging="360"/>
      </w:pPr>
      <w:rPr>
        <w:u w:val="none"/>
      </w:rPr>
    </w:lvl>
  </w:abstractNum>
  <w:abstractNum w:abstractNumId="4">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bering>
</file>

<file path=word/settings.xml><?xml version="1.0" encoding="utf-8"?>
<w:settings xmlns:w="http://schemas.openxmlformats.org/wordprocessingml/2006/main">
  <w:zoom w:percent="150"/>
  <w:embedTrueTypeFonts/>
  <w:defaultTabStop w:val="720"/>
  <w:autoHyphenation w:val="true"/>
  <w:hyphenationZone w:val="0"/>
  <w:footnotePr>
    <w:numFmt w:val="decimal"/>
    <w:footnote w:id="0"/>
    <w:footnote w:id="1"/>
  </w:foot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es-ES"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Calibri"/>
        <w:sz w:val="22"/>
        <w:szCs w:val="22"/>
        <w:lang w:val="es-ES" w:eastAsia="es-E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bidi w:val="0"/>
      <w:spacing w:lineRule="auto" w:line="276" w:before="0" w:after="200"/>
      <w:jc w:val="left"/>
    </w:pPr>
    <w:rPr>
      <w:rFonts w:ascii="Calibri" w:hAnsi="Calibri" w:eastAsia="Calibri" w:cs="Calibri"/>
      <w:color w:val="auto"/>
      <w:kern w:val="0"/>
      <w:sz w:val="22"/>
      <w:szCs w:val="22"/>
      <w:lang w:val="es-ES" w:eastAsia="es-ES" w:bidi="ar-SA"/>
    </w:rPr>
  </w:style>
  <w:style w:type="paragraph" w:styleId="Heading1">
    <w:name w:val="heading 1"/>
    <w:basedOn w:val="Normal"/>
    <w:next w:val="Normal"/>
    <w:uiPriority w:val="9"/>
    <w:qFormat/>
    <w:pPr>
      <w:keepNext w:val="true"/>
      <w:keepLines/>
      <w:spacing w:before="240" w:after="0"/>
      <w:outlineLvl w:val="0"/>
    </w:pPr>
    <w:rPr>
      <w:rFonts w:ascii="Cambria" w:hAnsi="Cambria" w:eastAsia="Cambria" w:cs="Cambria"/>
      <w:color w:val="366091"/>
      <w:sz w:val="32"/>
      <w:szCs w:val="32"/>
    </w:rPr>
  </w:style>
  <w:style w:type="paragraph" w:styleId="Heading2">
    <w:name w:val="heading 2"/>
    <w:basedOn w:val="Normal"/>
    <w:next w:val="Normal"/>
    <w:uiPriority w:val="9"/>
    <w:semiHidden/>
    <w:unhideWhenUsed/>
    <w:qFormat/>
    <w:pPr>
      <w:keepNext w:val="true"/>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val="true"/>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val="true"/>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val="true"/>
      <w:keepLines/>
      <w:spacing w:before="220" w:after="40"/>
      <w:outlineLvl w:val="4"/>
    </w:pPr>
    <w:rPr>
      <w:b/>
      <w:bCs/>
    </w:rPr>
  </w:style>
  <w:style w:type="paragraph" w:styleId="Heading6">
    <w:name w:val="heading 6"/>
    <w:basedOn w:val="Normal"/>
    <w:next w:val="Normal"/>
    <w:uiPriority w:val="9"/>
    <w:semiHidden/>
    <w:unhideWhenUsed/>
    <w:qFormat/>
    <w:pPr>
      <w:keepNext w:val="true"/>
      <w:keepLines/>
      <w:spacing w:before="200" w:after="40"/>
      <w:outlineLvl w:val="5"/>
    </w:pPr>
    <w:rPr>
      <w:b/>
      <w:bCs/>
      <w:sz w:val="20"/>
      <w:szCs w:val="20"/>
    </w:rPr>
  </w:style>
  <w:style w:type="character" w:styleId="DefaultParagraphFont" w:default="1">
    <w:name w:val="Default Paragraph Font"/>
    <w:uiPriority w:val="1"/>
    <w:semiHidden/>
    <w:unhideWhenUsed/>
    <w:qFormat/>
    <w:rPr/>
  </w:style>
  <w:style w:type="character" w:styleId="EncabezadoCar" w:customStyle="1">
    <w:name w:val="Encabezado Car"/>
    <w:basedOn w:val="DefaultParagraphFont"/>
    <w:uiPriority w:val="99"/>
    <w:qFormat/>
    <w:rsid w:val="00b45f1a"/>
    <w:rPr/>
  </w:style>
  <w:style w:type="character" w:styleId="PiedepginaCar" w:customStyle="1">
    <w:name w:val="Pie de página Car"/>
    <w:basedOn w:val="DefaultParagraphFont"/>
    <w:uiPriority w:val="99"/>
    <w:qFormat/>
    <w:rsid w:val="00b45f1a"/>
    <w:rPr/>
  </w:style>
  <w:style w:type="character" w:styleId="TextodegloboCar" w:customStyle="1">
    <w:name w:val="Texto de globo Car"/>
    <w:link w:val="BalloonText"/>
    <w:uiPriority w:val="99"/>
    <w:semiHidden/>
    <w:qFormat/>
    <w:rsid w:val="0025348e"/>
    <w:rPr>
      <w:rFonts w:ascii="Tahoma" w:hAnsi="Tahoma" w:cs="Tahoma"/>
      <w:sz w:val="16"/>
      <w:szCs w:val="16"/>
    </w:rPr>
  </w:style>
  <w:style w:type="character" w:styleId="CommentReference">
    <w:name w:val="annotation reference"/>
    <w:uiPriority w:val="99"/>
    <w:semiHidden/>
    <w:unhideWhenUsed/>
    <w:qFormat/>
    <w:rsid w:val="007b11d8"/>
    <w:rPr>
      <w:sz w:val="16"/>
      <w:szCs w:val="16"/>
    </w:rPr>
  </w:style>
  <w:style w:type="character" w:styleId="TextocomentarioCar" w:customStyle="1">
    <w:name w:val="Texto comentario Car"/>
    <w:uiPriority w:val="99"/>
    <w:semiHidden/>
    <w:qFormat/>
    <w:rsid w:val="007b11d8"/>
    <w:rPr>
      <w:sz w:val="20"/>
      <w:szCs w:val="20"/>
    </w:rPr>
  </w:style>
  <w:style w:type="character" w:styleId="AsuntodelcomentarioCar" w:customStyle="1">
    <w:name w:val="Asunto del comentario Car"/>
    <w:link w:val="annotationsubject"/>
    <w:uiPriority w:val="99"/>
    <w:semiHidden/>
    <w:qFormat/>
    <w:rsid w:val="007b11d8"/>
    <w:rPr>
      <w:b/>
      <w:bCs/>
      <w:sz w:val="20"/>
      <w:szCs w:val="20"/>
    </w:rPr>
  </w:style>
  <w:style w:type="character" w:styleId="Ttulo1Car" w:customStyle="1">
    <w:name w:val="Título 1 Car"/>
    <w:basedOn w:val="DefaultParagraphFont"/>
    <w:uiPriority w:val="9"/>
    <w:qFormat/>
    <w:rsid w:val="00e6379e"/>
    <w:rPr>
      <w:rFonts w:ascii="Cambria" w:hAnsi="Cambria" w:eastAsia="" w:cs="" w:asciiTheme="majorHAnsi" w:cstheme="majorBidi" w:eastAsiaTheme="majorEastAsia" w:hAnsiTheme="majorHAnsi"/>
      <w:color w:themeColor="accent1" w:themeShade="bf" w:val="365F91"/>
      <w:sz w:val="32"/>
      <w:szCs w:val="32"/>
      <w:lang w:eastAsia="en-US"/>
    </w:rPr>
  </w:style>
  <w:style w:type="character" w:styleId="Hyperlink">
    <w:name w:val="Hyperlink"/>
    <w:rPr>
      <w:color w:val="000080"/>
      <w:u w:val="single"/>
    </w:rPr>
  </w:style>
  <w:style w:type="character" w:styleId="LineNumber">
    <w:name w:val="line number"/>
    <w:rPr/>
  </w:style>
  <w:style w:type="character" w:styleId="Caracteresdenotaalpie">
    <w:name w:val="Caracteres de nota al pie"/>
    <w:qFormat/>
    <w:rPr/>
  </w:style>
  <w:style w:type="character" w:styleId="FootnoteReference">
    <w:name w:val="footnote reference"/>
    <w:rPr>
      <w:vertAlign w:val="superscript"/>
    </w:rPr>
  </w:style>
  <w:style w:type="character" w:styleId="EndnoteReference">
    <w:name w:val="endnote reference"/>
    <w:rPr>
      <w:vertAlign w:val="superscript"/>
    </w:rPr>
  </w:style>
  <w:style w:type="character" w:styleId="Caracteresdenotafinal">
    <w:name w:val="Caracteres de nota final"/>
    <w:qFormat/>
    <w:rPr/>
  </w:style>
  <w:style w:type="paragraph" w:styleId="Ttulo">
    <w:name w:val="Título"/>
    <w:basedOn w:val="Normal"/>
    <w:next w:val="BodyText"/>
    <w:qFormat/>
    <w:pPr>
      <w:keepNext w:val="true"/>
      <w:spacing w:before="240" w:after="120"/>
    </w:pPr>
    <w:rPr>
      <w:rFonts w:ascii="Liberation Sans" w:hAnsi="Liberation Sans" w:eastAsia="FandolFang R" w:cs="Droid Sans Devanagari"/>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ascii="DejaVu Serif" w:hAnsi="DejaVu Serif" w:cs="Droid Sans Devanagari"/>
    </w:rPr>
  </w:style>
  <w:style w:type="paragraph" w:styleId="Caption">
    <w:name w:val="caption"/>
    <w:basedOn w:val="Normal"/>
    <w:qFormat/>
    <w:pPr>
      <w:suppressLineNumbers/>
      <w:spacing w:before="120" w:after="120"/>
    </w:pPr>
    <w:rPr>
      <w:rFonts w:ascii="DejaVu Serif" w:hAnsi="DejaVu Serif" w:cs="Droid Sans Devanagari"/>
      <w:i/>
      <w:iCs/>
      <w:sz w:val="24"/>
      <w:szCs w:val="24"/>
    </w:rPr>
  </w:style>
  <w:style w:type="paragraph" w:styleId="ndice">
    <w:name w:val="Índice"/>
    <w:basedOn w:val="Normal"/>
    <w:qFormat/>
    <w:pPr>
      <w:suppressLineNumbers/>
    </w:pPr>
    <w:rPr>
      <w:rFonts w:ascii="DejaVu Serif" w:hAnsi="DejaVu Serif" w:cs="Droid Sans Devanagari"/>
    </w:rPr>
  </w:style>
  <w:style w:type="paragraph" w:styleId="Title">
    <w:name w:val="Title"/>
    <w:basedOn w:val="Normal"/>
    <w:next w:val="Normal"/>
    <w:uiPriority w:val="10"/>
    <w:qFormat/>
    <w:pPr>
      <w:keepNext w:val="true"/>
      <w:keepLines/>
      <w:spacing w:before="480" w:after="120"/>
    </w:pPr>
    <w:rPr>
      <w:b/>
      <w:bCs/>
      <w:sz w:val="72"/>
      <w:szCs w:val="72"/>
    </w:rPr>
  </w:style>
  <w:style w:type="paragraph" w:styleId="Cabeceraypie">
    <w:name w:val="Cabecera y pie"/>
    <w:basedOn w:val="Normal"/>
    <w:qFormat/>
    <w:pPr/>
    <w:rPr/>
  </w:style>
  <w:style w:type="paragraph" w:styleId="Header">
    <w:name w:val="header"/>
    <w:basedOn w:val="Normal"/>
    <w:link w:val="EncabezadoCar"/>
    <w:uiPriority w:val="99"/>
    <w:unhideWhenUsed/>
    <w:rsid w:val="00b45f1a"/>
    <w:pPr>
      <w:tabs>
        <w:tab w:val="clear" w:pos="720"/>
        <w:tab w:val="center" w:pos="4252" w:leader="none"/>
        <w:tab w:val="right" w:pos="8504" w:leader="none"/>
      </w:tabs>
      <w:spacing w:lineRule="auto" w:line="240" w:before="0" w:after="0"/>
    </w:pPr>
    <w:rPr/>
  </w:style>
  <w:style w:type="paragraph" w:styleId="Footer">
    <w:name w:val="footer"/>
    <w:basedOn w:val="Normal"/>
    <w:link w:val="PiedepginaCar"/>
    <w:uiPriority w:val="99"/>
    <w:unhideWhenUsed/>
    <w:rsid w:val="00b45f1a"/>
    <w:pPr>
      <w:tabs>
        <w:tab w:val="clear" w:pos="720"/>
        <w:tab w:val="center" w:pos="4252" w:leader="none"/>
        <w:tab w:val="right" w:pos="8504" w:leader="none"/>
      </w:tabs>
      <w:spacing w:lineRule="auto" w:line="240" w:before="0" w:after="0"/>
    </w:pPr>
    <w:rPr/>
  </w:style>
  <w:style w:type="paragraph" w:styleId="ListParagraph">
    <w:name w:val="List Paragraph"/>
    <w:basedOn w:val="Normal"/>
    <w:uiPriority w:val="34"/>
    <w:qFormat/>
    <w:rsid w:val="000906ae"/>
    <w:pPr>
      <w:spacing w:before="0" w:after="200"/>
      <w:ind w:left="720"/>
      <w:contextualSpacing/>
    </w:pPr>
    <w:rPr/>
  </w:style>
  <w:style w:type="paragraph" w:styleId="BalloonText">
    <w:name w:val="Balloon Text"/>
    <w:basedOn w:val="Normal"/>
    <w:link w:val="TextodegloboCar"/>
    <w:uiPriority w:val="99"/>
    <w:semiHidden/>
    <w:unhideWhenUsed/>
    <w:qFormat/>
    <w:rsid w:val="0025348e"/>
    <w:pPr>
      <w:spacing w:lineRule="auto" w:line="240" w:before="0" w:after="0"/>
    </w:pPr>
    <w:rPr>
      <w:rFonts w:ascii="Tahoma" w:hAnsi="Tahoma" w:cs="Tahoma"/>
      <w:sz w:val="16"/>
      <w:szCs w:val="16"/>
    </w:rPr>
  </w:style>
  <w:style w:type="paragraph" w:styleId="CommentText">
    <w:name w:val="annotation text"/>
    <w:basedOn w:val="Normal"/>
    <w:link w:val="TextocomentarioCar"/>
    <w:uiPriority w:val="99"/>
    <w:semiHidden/>
    <w:unhideWhenUsed/>
    <w:rsid w:val="007b11d8"/>
    <w:pPr>
      <w:spacing w:lineRule="auto" w:line="240"/>
    </w:pPr>
    <w:rPr>
      <w:sz w:val="20"/>
      <w:szCs w:val="20"/>
    </w:rPr>
  </w:style>
  <w:style w:type="paragraph" w:styleId="annotationsubject">
    <w:name w:val="annotation subject"/>
    <w:basedOn w:val="CommentText"/>
    <w:next w:val="CommentText"/>
    <w:link w:val="AsuntodelcomentarioCar"/>
    <w:uiPriority w:val="99"/>
    <w:semiHidden/>
    <w:unhideWhenUsed/>
    <w:qFormat/>
    <w:rsid w:val="007b11d8"/>
    <w:pPr/>
    <w:rPr>
      <w:b/>
      <w:bCs/>
    </w:rPr>
  </w:style>
  <w:style w:type="paragraph" w:styleId="Revision">
    <w:name w:val="Revision"/>
    <w:uiPriority w:val="99"/>
    <w:semiHidden/>
    <w:qFormat/>
    <w:rsid w:val="009d3e76"/>
    <w:pPr>
      <w:widowControl/>
      <w:bidi w:val="0"/>
      <w:spacing w:lineRule="auto" w:line="276" w:before="0" w:after="200"/>
      <w:jc w:val="left"/>
    </w:pPr>
    <w:rPr>
      <w:rFonts w:ascii="Calibri" w:hAnsi="Calibri" w:eastAsia="Calibri" w:cs="Calibri"/>
      <w:color w:val="auto"/>
      <w:kern w:val="0"/>
      <w:sz w:val="22"/>
      <w:szCs w:val="22"/>
      <w:lang w:eastAsia="en-US" w:val="es-ES" w:bidi="ar-SA"/>
    </w:rPr>
  </w:style>
  <w:style w:type="paragraph" w:styleId="Subtitle">
    <w:name w:val="Subtitle"/>
    <w:basedOn w:val="Normal"/>
    <w:next w:val="Normal"/>
    <w:uiPriority w:val="11"/>
    <w:qFormat/>
    <w:pPr>
      <w:keepNext w:val="true"/>
      <w:keepLines/>
      <w:spacing w:before="360" w:after="80"/>
    </w:pPr>
    <w:rPr>
      <w:rFonts w:ascii="Georgia" w:hAnsi="Georgia" w:eastAsia="Georgia" w:cs="Georgia"/>
      <w:i/>
      <w:iCs/>
      <w:color w:val="666666"/>
      <w:sz w:val="48"/>
      <w:szCs w:val="48"/>
    </w:rPr>
  </w:style>
  <w:style w:type="paragraph" w:styleId="Contenidodelmarco">
    <w:name w:val="Contenido del marco"/>
    <w:basedOn w:val="Normal"/>
    <w:qFormat/>
    <w:pPr/>
    <w:rPr/>
  </w:style>
  <w:style w:type="paragraph" w:styleId="FootnoteText">
    <w:name w:val="footnote text"/>
    <w:basedOn w:val="Normal"/>
    <w:pPr/>
    <w:rPr/>
  </w:style>
  <w:style w:type="numbering" w:styleId="Ningunalista" w:default="1">
    <w:name w:val="Ninguna lista"/>
    <w:uiPriority w:val="99"/>
    <w:semiHidden/>
    <w:unhideWhenUsed/>
    <w:qFormat/>
  </w:style>
  <w:style w:type="table" w:default="1" w:styleId="Tablanormal">
    <w:name w:val="Normal Table"/>
    <w:uiPriority w:val="99"/>
    <w:semiHidden/>
    <w:unhideWhenUsed/>
    <w:tblPr>
      <w:tblCellMar>
        <w:top w:w="0" w:type="dxa"/>
        <w:left w:w="108" w:type="dxa"/>
        <w:bottom w:w="0" w:type="dxa"/>
        <w:right w:w="108" w:type="dxa"/>
      </w:tblCellMar>
    </w:tblPr>
  </w:style>
  <w:style w:type="table" w:customStyle="1" w:styleId="TableNormal">
    <w:name w:val="TableNormal"/>
    <w:tblPr>
      <w:tblCellMar>
        <w:top w:w="100" w:type="dxa"/>
        <w:left w:w="100" w:type="dxa"/>
        <w:bottom w:w="100" w:type="dxa"/>
        <w:right w:w="100" w:type="dxa"/>
      </w:tblCellMar>
    </w:tblPr>
  </w:style>
  <w:style w:type="table" w:customStyle="1" w:styleId="TableNormal0">
    <w:name w:val="TableNormal"/>
    <w:tblPr>
      <w:tblCellMar>
        <w:top w:w="100" w:type="dxa"/>
        <w:left w:w="100" w:type="dxa"/>
        <w:bottom w:w="100" w:type="dxa"/>
        <w:right w:w="100" w:type="dxa"/>
      </w:tblCellMar>
    </w:tblPr>
  </w:style>
  <w:style w:type="table" w:styleId="Tablaconcuadrcula">
    <w:name w:val="Table Grid"/>
    <w:basedOn w:val="Tablanormal"/>
    <w:uiPriority w:val="39"/>
    <w:rsid w:val="00812c14"/>
    <w:pPr>
      <w:jc w:val="both"/>
    </w:pPr>
    <w:rPr>
      <w:rFonts w:eastAsiaTheme="minorHAns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www.qng.es/" TargetMode="External"/><Relationship Id="rId3" Type="http://schemas.openxmlformats.org/officeDocument/2006/relationships/hyperlink" Target="http://www.iem.csic.es/" TargetMode="External"/><Relationship Id="rId4" Type="http://schemas.openxmlformats.org/officeDocument/2006/relationships/hyperlink" Target="http://lbt.usal.es/" TargetMode="Externa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jpe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hyperlink" Target="https://topas.com/products/topas-coc-polymers/" TargetMode="External"/><Relationship Id="rId11" Type="http://schemas.openxmlformats.org/officeDocument/2006/relationships/image" Target="media/image6.png"/><Relationship Id="rId12" Type="http://schemas.openxmlformats.org/officeDocument/2006/relationships/hyperlink" Target="https://nanotech.usal.es/facilities/" TargetMode="External"/><Relationship Id="rId13" Type="http://schemas.openxmlformats.org/officeDocument/2006/relationships/hyperlink" Target="https://doctorado.usal.es/es/formacion-transversal" TargetMode="External"/><Relationship Id="rId14" Type="http://schemas.openxmlformats.org/officeDocument/2006/relationships/hyperlink" Target="https://www.ucm.es/doctorado/doctoradofisica/otras-actividades" TargetMode="External"/><Relationship Id="rId15" Type="http://schemas.openxmlformats.org/officeDocument/2006/relationships/hyperlink" Target="https://gefes-rsef.org/premio-gefes-mejor-tesis-teorica-xii-edicion/" TargetMode="External"/><Relationship Id="rId16" Type="http://schemas.openxmlformats.org/officeDocument/2006/relationships/hyperlink" Target="https://nanolito.unizar.es/" TargetMode="External"/><Relationship Id="rId17" Type="http://schemas.openxmlformats.org/officeDocument/2006/relationships/hyperlink" Target="https://doi.org/10.3390/nano14040383" TargetMode="External"/><Relationship Id="rId18" Type="http://schemas.openxmlformats.org/officeDocument/2006/relationships/hyperlink" Target="https://iopscience.iop.org/article/10.1088/2053-1583/ab254e/pdf" TargetMode="External"/><Relationship Id="rId19" Type="http://schemas.openxmlformats.org/officeDocument/2006/relationships/hyperlink" Target="https://doi.org/10.1021/acs.nanolett.0c03091" TargetMode="External"/><Relationship Id="rId20" Type="http://schemas.openxmlformats.org/officeDocument/2006/relationships/hyperlink" Target="https://doi.org/10.1016/j.carbon.2023.01.052" TargetMode="External"/><Relationship Id="rId21" Type="http://schemas.openxmlformats.org/officeDocument/2006/relationships/hyperlink" Target="https://doi.org/10.1088/1367-2630/adc594" TargetMode="External"/><Relationship Id="rId22" Type="http://schemas.openxmlformats.org/officeDocument/2006/relationships/hyperlink" Target="https://github.com/yurikobd/Floquet_TMD_ttp" TargetMode="External"/><Relationship Id="rId23" Type="http://schemas.openxmlformats.org/officeDocument/2006/relationships/hyperlink" Target="https://arxiv.org/abs/2507.14074" TargetMode="External"/><Relationship Id="rId24" Type="http://schemas.openxmlformats.org/officeDocument/2006/relationships/hyperlink" Target="https://www.science.org/doi/10.1126/science.aad0201" TargetMode="External"/><Relationship Id="rId25" Type="http://schemas.openxmlformats.org/officeDocument/2006/relationships/hyperlink" Target="https://journals.aps.org/prl/abstract/10.1103/PhysRevLett.74.3269" TargetMode="External"/><Relationship Id="rId26" Type="http://schemas.openxmlformats.org/officeDocument/2006/relationships/hyperlink" Target="https://www.nature.com/articles/s41467-022-34734-3" TargetMode="External"/><Relationship Id="rId27" Type="http://schemas.openxmlformats.org/officeDocument/2006/relationships/hyperlink" Target="https://www.science.org/doi/10.1126/sciadv.adi0415" TargetMode="External"/><Relationship Id="rId28" Type="http://schemas.openxmlformats.org/officeDocument/2006/relationships/hyperlink" Target="https://www.science.org/doi/10.1126/science.aau0685" TargetMode="External"/><Relationship Id="rId29" Type="http://schemas.openxmlformats.org/officeDocument/2006/relationships/hyperlink" Target="https://doi.org/10.1126/science.abi8627" TargetMode="External"/><Relationship Id="rId30" Type="http://schemas.openxmlformats.org/officeDocument/2006/relationships/hyperlink" Target="http://dx.doi.org/10.1103/PhysRevB.74.174512" TargetMode="External"/><Relationship Id="rId31" Type="http://schemas.openxmlformats.org/officeDocument/2006/relationships/hyperlink" Target="http://dx.doi.org/10.1103/PhysRevLett.96.207001" TargetMode="External"/><Relationship Id="rId32" Type="http://schemas.openxmlformats.org/officeDocument/2006/relationships/hyperlink" Target="https://doi.org/10.1039/D1NR00064K" TargetMode="External"/><Relationship Id="rId33" Type="http://schemas.openxmlformats.org/officeDocument/2006/relationships/hyperlink" Target="https://physics.aps.org/articles/v18/42" TargetMode="External"/><Relationship Id="rId34" Type="http://schemas.openxmlformats.org/officeDocument/2006/relationships/hyperlink" Target="https://doi.org/10.1103/PhysRev.113.1046" TargetMode="External"/><Relationship Id="rId35" Type="http://schemas.openxmlformats.org/officeDocument/2006/relationships/hyperlink" Target="https://www.nature.com/articles/nature26160" TargetMode="External"/><Relationship Id="rId36" Type="http://schemas.openxmlformats.org/officeDocument/2006/relationships/hyperlink" Target="https://doi.org/10.1021/acs.nanolett.3c04300" TargetMode="External"/><Relationship Id="rId37" Type="http://schemas.openxmlformats.org/officeDocument/2006/relationships/hyperlink" Target="https://doi.org/10.1103/PhysRevApplied.8.054029" TargetMode="External"/><Relationship Id="rId38" Type="http://schemas.openxmlformats.org/officeDocument/2006/relationships/hyperlink" Target="https://journals.aps.org/prl/abstract/10.1103/PhysRevLett.127.130602" TargetMode="External"/><Relationship Id="rId39" Type="http://schemas.openxmlformats.org/officeDocument/2006/relationships/hyperlink" Target="https://doi.org/10.1515/nanoph-2021-0573" TargetMode="External"/><Relationship Id="rId40" Type="http://schemas.openxmlformats.org/officeDocument/2006/relationships/hyperlink" Target="https://doi.org/10.1016/j.mtphys.2023.101259" TargetMode="External"/><Relationship Id="rId41" Type="http://schemas.openxmlformats.org/officeDocument/2006/relationships/hyperlink" Target="https://journals.aps.org/prl/abstract/10.1103/PhysRevLett.71.2465" TargetMode="External"/><Relationship Id="rId42" Type="http://schemas.openxmlformats.org/officeDocument/2006/relationships/hyperlink" Target="https://doi.org/10.1103/PhysRevLett.117.090402" TargetMode="External"/><Relationship Id="rId43" Type="http://schemas.openxmlformats.org/officeDocument/2006/relationships/hyperlink" Target="https://doi.org/10.1038/s42005-024-01632-7" TargetMode="External"/><Relationship Id="rId44" Type="http://schemas.openxmlformats.org/officeDocument/2006/relationships/hyperlink" Target="https://doi.org/10.1088/2053-1583/ad8d65" TargetMode="External"/><Relationship Id="rId45" Type="http://schemas.openxmlformats.org/officeDocument/2006/relationships/hyperlink" Target="https://revistadefisica.es/index.php/ref/issue/view/180/showToc" TargetMode="External"/><Relationship Id="rId46" Type="http://schemas.openxmlformats.org/officeDocument/2006/relationships/hyperlink" Target="https://journals.aps.org/prx/abstract/10.1103/PhysRevX.15.011039" TargetMode="External"/><Relationship Id="rId47" Type="http://schemas.openxmlformats.org/officeDocument/2006/relationships/hyperlink" Target="https://doi.org/10.1103/PhysRevResearch.7.013087" TargetMode="External"/><Relationship Id="rId48" Type="http://schemas.openxmlformats.org/officeDocument/2006/relationships/hyperlink" Target="https://doi.org/10.1103/PhysRevB.111.075401" TargetMode="External"/><Relationship Id="rId49" Type="http://schemas.openxmlformats.org/officeDocument/2006/relationships/hyperlink" Target="https://arxiv.org/html/2502.10265v2" TargetMode="External"/><Relationship Id="rId50" Type="http://schemas.openxmlformats.org/officeDocument/2006/relationships/hyperlink" Target="https://doi.org/10.1103/xsjh-lq5h" TargetMode="External"/><Relationship Id="rId51" Type="http://schemas.openxmlformats.org/officeDocument/2006/relationships/hyperlink" Target="https://journals.aps.org/prl/abstract/10.1103/PhysRevLett.103.186803" TargetMode="External"/><Relationship Id="rId52" Type="http://schemas.openxmlformats.org/officeDocument/2006/relationships/hyperlink" Target="https://journals.aps.org/prl/abstract/10.1103/PhysRevLett.107.036807" TargetMode="External"/><Relationship Id="rId53" Type="http://schemas.openxmlformats.org/officeDocument/2006/relationships/hyperlink" Target="https://iopscience.iop.org/article/10.1088/2515-7639/ad8378" TargetMode="External"/><Relationship Id="rId54" Type="http://schemas.openxmlformats.org/officeDocument/2006/relationships/hyperlink" Target="https://iopscience.iop.org/article/10.1088/2053-1583/ae0f28/pdf" TargetMode="External"/><Relationship Id="rId55" Type="http://schemas.openxmlformats.org/officeDocument/2006/relationships/hyperlink" Target="https://doi.org/10.48550/arXiv.2509.16321" TargetMode="External"/><Relationship Id="rId56" Type="http://schemas.openxmlformats.org/officeDocument/2006/relationships/hyperlink" Target="https://iopscience.iop.org/article/10.1088/0953-8984/21/39/395502" TargetMode="External"/><Relationship Id="rId57" Type="http://schemas.openxmlformats.org/officeDocument/2006/relationships/hyperlink" Target="https://doi.org/10.22331/q-2024-11-13-1522" TargetMode="External"/><Relationship Id="rId58" Type="http://schemas.openxmlformats.org/officeDocument/2006/relationships/hyperlink" Target="https://doi.org/10.1088/2515-7639/ade292" TargetMode="External"/><Relationship Id="rId59" Type="http://schemas.openxmlformats.org/officeDocument/2006/relationships/hyperlink" Target="https://arxiv.org/abs/2506.13370" TargetMode="External"/><Relationship Id="rId60" Type="http://schemas.openxmlformats.org/officeDocument/2006/relationships/hyperlink" Target="https://doi.org/10.1103/PhysRevLett.116.156803" TargetMode="External"/><Relationship Id="rId61" Type="http://schemas.openxmlformats.org/officeDocument/2006/relationships/hyperlink" Target="https://pubs.aip.org/aip/apl/article/100/7/073110/24259/Mechanical-cleaning-of-graphene" TargetMode="External"/><Relationship Id="rId62" Type="http://schemas.openxmlformats.org/officeDocument/2006/relationships/hyperlink" Target="https://doi.org/10.1088/1367-2630/16/6/063065" TargetMode="External"/><Relationship Id="rId63" Type="http://schemas.openxmlformats.org/officeDocument/2006/relationships/hyperlink" Target="http://www.jetp.ras.ru/cgi-bin/dn/e_017_02_0521.pdf" TargetMode="External"/><Relationship Id="rId64" Type="http://schemas.openxmlformats.org/officeDocument/2006/relationships/hyperlink" Target="https://iopscience.iop.org/article/10.1070/PU1968v011n02ABEH003815" TargetMode="External"/><Relationship Id="rId65" Type="http://schemas.openxmlformats.org/officeDocument/2006/relationships/hyperlink" Target="https://doi.org/10.1002/adma.202506695" TargetMode="External"/><Relationship Id="rId66" Type="http://schemas.openxmlformats.org/officeDocument/2006/relationships/hyperlink" Target="https://doi.org/10.1002/smll.202311185" TargetMode="External"/><Relationship Id="rId67" Type="http://schemas.openxmlformats.org/officeDocument/2006/relationships/hyperlink" Target="https://doi.org/10.1038/s41586-024-08052-1" TargetMode="External"/><Relationship Id="rId68" Type="http://schemas.openxmlformats.org/officeDocument/2006/relationships/hyperlink" Target="https://doi.org/10.1103/PhysRevB.51.13389" TargetMode="External"/><Relationship Id="rId69" Type="http://schemas.openxmlformats.org/officeDocument/2006/relationships/hyperlink" Target="https://pubs.acs.org/doi/10.1021/acsnano.9b06992" TargetMode="External"/><Relationship Id="rId70" Type="http://schemas.openxmlformats.org/officeDocument/2006/relationships/hyperlink" Target="https://www.nature.com/articles/s41565-024-01751-w" TargetMode="External"/><Relationship Id="rId71" Type="http://schemas.openxmlformats.org/officeDocument/2006/relationships/hyperlink" Target="https://doi.org/10.1103/PhysRevX.8.031087" TargetMode="External"/><Relationship Id="rId72" Type="http://schemas.openxmlformats.org/officeDocument/2006/relationships/hyperlink" Target="https://www.nature.com/articles/s41565-024-01795-y" TargetMode="External"/><Relationship Id="rId73" Type="http://schemas.openxmlformats.org/officeDocument/2006/relationships/hyperlink" Target="https://iopscience.iop.org/article/10.1088/0953-2048/28/5/055007" TargetMode="External"/><Relationship Id="rId74" Type="http://schemas.openxmlformats.org/officeDocument/2006/relationships/hyperlink" Target="https://www.nature.com/articles/nphys4240" TargetMode="External"/><Relationship Id="rId75" Type="http://schemas.openxmlformats.org/officeDocument/2006/relationships/hyperlink" Target="https://doi.org/10.1103/PhysRevB.110.165423" TargetMode="External"/><Relationship Id="rId76" Type="http://schemas.openxmlformats.org/officeDocument/2006/relationships/hyperlink" Target="https://doi.org/10.1063/5.0265474" TargetMode="External"/><Relationship Id="rId77" Type="http://schemas.openxmlformats.org/officeDocument/2006/relationships/hyperlink" Target="https://doi.org/10.1063/5.0265474" TargetMode="External"/><Relationship Id="rId78" Type="http://schemas.openxmlformats.org/officeDocument/2006/relationships/hyperlink" Target="https://pubs.acs.org/doi/10.1021/acsaelm.3c01511" TargetMode="External"/><Relationship Id="rId79" Type="http://schemas.openxmlformats.org/officeDocument/2006/relationships/hyperlink" Target="https://doi.org/10.1016/j.mtphys.2025.101855" TargetMode="External"/><Relationship Id="rId80" Type="http://schemas.openxmlformats.org/officeDocument/2006/relationships/hyperlink" Target="https://www.nature.com/articles/s41699-023-00426-9" TargetMode="External"/><Relationship Id="rId81" Type="http://schemas.openxmlformats.org/officeDocument/2006/relationships/hyperlink" Target="https://doi.org/10.1119/5.0133701" TargetMode="External"/><Relationship Id="rId82" Type="http://schemas.openxmlformats.org/officeDocument/2006/relationships/hyperlink" Target="https://doi.org/10.1016/j.physe.2024.116145" TargetMode="External"/><Relationship Id="rId83" Type="http://schemas.openxmlformats.org/officeDocument/2006/relationships/hyperlink" Target="https://doi.org/10.1103/PhysRevB.109.045415" TargetMode="External"/><Relationship Id="rId84" Type="http://schemas.openxmlformats.org/officeDocument/2006/relationships/hyperlink" Target="https://doi.org/10.1103/6tny-vt8q" TargetMode="External"/><Relationship Id="rId85" Type="http://schemas.openxmlformats.org/officeDocument/2006/relationships/hyperlink" Target="https://doi.org/10.1103/PhysRevB.98.155142" TargetMode="External"/><Relationship Id="rId86" Type="http://schemas.openxmlformats.org/officeDocument/2006/relationships/hyperlink" Target="https://journals.aps.org/prl/abstract/10.1103/PhysRevLett.102.117001" TargetMode="External"/><Relationship Id="rId87" Type="http://schemas.openxmlformats.org/officeDocument/2006/relationships/hyperlink" Target="https://doi.org/10.1016/j.cpc.2014.05.003" TargetMode="External"/><Relationship Id="rId88" Type="http://schemas.openxmlformats.org/officeDocument/2006/relationships/hyperlink" Target="https://journals.aps.org/prb/abstract/10.1103/PhysRevB.75.201404" TargetMode="External"/><Relationship Id="rId89" Type="http://schemas.openxmlformats.org/officeDocument/2006/relationships/hyperlink" Target="https://doi.org/10.1088/2053-1583/ad0f2a" TargetMode="External"/><Relationship Id="rId90" Type="http://schemas.openxmlformats.org/officeDocument/2006/relationships/hyperlink" Target="https://doi.org/10.1103/PhysRevLett.123.126401" TargetMode="External"/><Relationship Id="rId91" Type="http://schemas.openxmlformats.org/officeDocument/2006/relationships/hyperlink" Target="https://journals.aps.org/prl/abstract/10.1103/PhysRevLett.105.177002" TargetMode="External"/><Relationship Id="rId92" Type="http://schemas.openxmlformats.org/officeDocument/2006/relationships/hyperlink" Target="https://doi.org/10.1016/j.carbon.2024.118952" TargetMode="External"/><Relationship Id="rId93" Type="http://schemas.openxmlformats.org/officeDocument/2006/relationships/hyperlink" Target="https://physicstoday.scitation.org/doi/10.1063/PT.3.4497tract/10.1103/PhysRevLett.107.183901" TargetMode="External"/><Relationship Id="rId94" Type="http://schemas.openxmlformats.org/officeDocument/2006/relationships/hyperlink" Target="https://doi.org/10.1016/j.cpc.2022.108504" TargetMode="External"/><Relationship Id="rId95" Type="http://schemas.openxmlformats.org/officeDocument/2006/relationships/hyperlink" Target="https://doi.org/10.1126/science.aat6981" TargetMode="External"/><Relationship Id="rId96" Type="http://schemas.openxmlformats.org/officeDocument/2006/relationships/hyperlink" Target="https://doi.org/10.1103/PhysRevLett.87.236602" TargetMode="External"/><Relationship Id="rId97" Type="http://schemas.openxmlformats.org/officeDocument/2006/relationships/hyperlink" Target="https://doi.org/10.1103/PhysRevB.95.075303" TargetMode="External"/><Relationship Id="rId98" Type="http://schemas.openxmlformats.org/officeDocument/2006/relationships/hyperlink" Target="https://journals.aps.org/prresearch/abstract/10.1103/PhysRevResearch.6.023212" TargetMode="External"/><Relationship Id="rId99" Type="http://schemas.openxmlformats.org/officeDocument/2006/relationships/hyperlink" Target="https://link.springer.com/article/10.1140/epjp/s13360-024-05771-2" TargetMode="External"/><Relationship Id="rId100" Type="http://schemas.openxmlformats.org/officeDocument/2006/relationships/hyperlink" Target="https://doi.org/10.1016/j.carbon.2020.05.054" TargetMode="External"/><Relationship Id="rId101" Type="http://schemas.openxmlformats.org/officeDocument/2006/relationships/hyperlink" Target="https://doi.org/10.1103/PhysRevB.105.165303" TargetMode="External"/><Relationship Id="rId102" Type="http://schemas.openxmlformats.org/officeDocument/2006/relationships/hyperlink" Target="https://doi.org/10.1103/PhysRevB.91.125408" TargetMode="External"/><Relationship Id="rId103" Type="http://schemas.openxmlformats.org/officeDocument/2006/relationships/hyperlink" Target="https://journals.aps.org/prx/abstract/10.1103/PhysRevX.14.041057" TargetMode="External"/><Relationship Id="rId104" Type="http://schemas.openxmlformats.org/officeDocument/2006/relationships/hyperlink" Target="https://iopscience.iop.org/article/10.1088/0953-8984/14/11/302" TargetMode="External"/><Relationship Id="rId105" Type="http://schemas.openxmlformats.org/officeDocument/2006/relationships/hyperlink" Target="https://pubs.acs.org/doi/10.1021/acs.nanolett.3c00125" TargetMode="External"/><Relationship Id="rId106" Type="http://schemas.openxmlformats.org/officeDocument/2006/relationships/hyperlink" Target="https://www.nature.com/articles/ncomms1577" TargetMode="External"/><Relationship Id="rId107" Type="http://schemas.openxmlformats.org/officeDocument/2006/relationships/hyperlink" Target="https://www.nature.com/articles/s41567-021-01194-3" TargetMode="External"/><Relationship Id="rId108" Type="http://schemas.openxmlformats.org/officeDocument/2006/relationships/hyperlink" Target="https://journals.aps.org/prb/abstract/10.1103/PhysRevB.87.245408" TargetMode="External"/><Relationship Id="rId109" Type="http://schemas.openxmlformats.org/officeDocument/2006/relationships/hyperlink" Target="https://pubs.acs.org/doi/abs/10.1021/acs.nanolett.2c04358" TargetMode="External"/><Relationship Id="rId110" Type="http://schemas.openxmlformats.org/officeDocument/2006/relationships/hyperlink" Target="https://www.nature.com/articles/s41467-024-55432-2" TargetMode="External"/><Relationship Id="rId111" Type="http://schemas.openxmlformats.org/officeDocument/2006/relationships/hyperlink" Target="https://journals.aps.org/prb/abstract/10.1103/PhysRevB.92.195406" TargetMode="External"/><Relationship Id="rId112" Type="http://schemas.openxmlformats.org/officeDocument/2006/relationships/hyperlink" Target="https://www.nature.com/articles/nphys2272" TargetMode="External"/><Relationship Id="rId113" Type="http://schemas.openxmlformats.org/officeDocument/2006/relationships/hyperlink" Target="https://doi.org/10.1103/PhysRevLett.118.030401" TargetMode="External"/><Relationship Id="rId114" Type="http://schemas.openxmlformats.org/officeDocument/2006/relationships/hyperlink" Target="https://journals.aps.org/prb/abstract/10.1103/PhysRevB.111.014511" TargetMode="External"/><Relationship Id="rId115" Type="http://schemas.openxmlformats.org/officeDocument/2006/relationships/hyperlink" Target="https://www.nature.com/articles/s41699-018-0076-0" TargetMode="External"/><Relationship Id="rId116" Type="http://schemas.openxmlformats.org/officeDocument/2006/relationships/header" Target="header1.xml"/><Relationship Id="rId117" Type="http://schemas.openxmlformats.org/officeDocument/2006/relationships/header" Target="header2.xml"/><Relationship Id="rId118" Type="http://schemas.openxmlformats.org/officeDocument/2006/relationships/header" Target="header3.xml"/><Relationship Id="rId119" Type="http://schemas.openxmlformats.org/officeDocument/2006/relationships/footer" Target="footer1.xml"/><Relationship Id="rId120" Type="http://schemas.openxmlformats.org/officeDocument/2006/relationships/footer" Target="footer2.xml"/><Relationship Id="rId121" Type="http://schemas.openxmlformats.org/officeDocument/2006/relationships/footer" Target="footer3.xml"/><Relationship Id="rId122" Type="http://schemas.openxmlformats.org/officeDocument/2006/relationships/footnotes" Target="footnotes.xml"/><Relationship Id="rId123" Type="http://schemas.openxmlformats.org/officeDocument/2006/relationships/numbering" Target="numbering.xml"/><Relationship Id="rId124" Type="http://schemas.openxmlformats.org/officeDocument/2006/relationships/fontTable" Target="fontTable.xml"/><Relationship Id="rId125" Type="http://schemas.openxmlformats.org/officeDocument/2006/relationships/settings" Target="settings.xml"/><Relationship Id="rId126" Type="http://schemas.openxmlformats.org/officeDocument/2006/relationships/theme" Target="theme/theme1.xml"/><Relationship Id="rId127" Type="http://schemas.openxmlformats.org/officeDocument/2006/relationships/customXml" Target="../customXml/item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
</Relationships>
</file>

<file path=word/_rels/header2.xml.rels><?xml version="1.0" encoding="UTF-8"?>
<Relationships xmlns="http://schemas.openxmlformats.org/package/2006/relationships"><Relationship Id="rId1" Type="http://schemas.openxmlformats.org/officeDocument/2006/relationships/image" Target="media/image7.jpeg"/><Relationship Id="rId2" Type="http://schemas.openxmlformats.org/officeDocument/2006/relationships/image" Target="media/image8.jpeg"/>
</Relationships>
</file>

<file path=word/_rels/header3.xml.rels><?xml version="1.0" encoding="UTF-8"?>
<Relationships xmlns="http://schemas.openxmlformats.org/package/2006/relationships"><Relationship Id="rId1" Type="http://schemas.openxmlformats.org/officeDocument/2006/relationships/image" Target="media/image9.jpeg"/><Relationship Id="rId2" Type="http://schemas.openxmlformats.org/officeDocument/2006/relationships/image" Target="media/image10.jpeg"/><Relationship Id="rId3" Type="http://schemas.openxmlformats.org/officeDocument/2006/relationships/image" Target="media/image11.jpeg"/>
</Relationships>
</file>

<file path=word/theme/theme1.xml><?xml version="1.0" encoding="utf-8"?>
<a:theme xmlns:a="http://schemas.openxmlformats.org/drawingml/2006/main" xmlns:r="http://schemas.openxmlformats.org/officeDocument/2006/relationships" name="Tema de Offic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itchFamily="0" charset="1"/>
        <a:ea typeface=""/>
        <a:cs typeface=""/>
      </a:majorFont>
      <a:minorFont>
        <a:latin typeface="Calibri"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shade val="51000"/>
              </a:schemeClr>
            </a:gs>
            <a:gs pos="80000">
              <a:schemeClr val="phClr">
                <a:shade val="93000"/>
              </a:schemeClr>
            </a:gs>
            <a:gs pos="100000">
              <a:schemeClr val="phClr">
                <a:shade val="94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gYKxUiDuilGZ1VIRKjEMuaBz5paQ==">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13</TotalTime>
  <Application>LibreOffice/24.8.7.2$Linux_X86_64 LibreOffice_project/480$Build-2</Application>
  <AppVersion>15.0000</AppVersion>
  <Pages>35</Pages>
  <Words>20055</Words>
  <Characters>117970</Characters>
  <CharactersWithSpaces>137659</CharactersWithSpaces>
  <Paragraphs>505</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2025-10-20T07:32:00Z</dcterms:created>
  <dc:creator>Franch Meneu, M.Asuncion</dc:creator>
  <dc:description/>
  <dc:language>es-ES</dc:language>
  <cp:lastModifiedBy/>
  <cp:lastPrinted>2025-12-03T08:34:08Z</cp:lastPrinted>
  <dcterms:modified xsi:type="dcterms:W3CDTF">2025-12-03T08:42:07Z</dcterms:modified>
  <cp:revision>3</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0x010100EB3E407380C26041863A713AC98178B2</vt:lpwstr>
  </property>
</Properties>
</file>